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BF2D" w14:textId="77777777" w:rsidR="001E3C30" w:rsidRDefault="001E3C30" w:rsidP="00030728">
      <w:pPr>
        <w:spacing w:line="276" w:lineRule="auto"/>
        <w:jc w:val="center"/>
        <w:rPr>
          <w:rFonts w:ascii="Calibri" w:hAnsi="Calibri"/>
          <w:b/>
          <w:sz w:val="22"/>
          <w:szCs w:val="22"/>
        </w:rPr>
      </w:pPr>
    </w:p>
    <w:p w14:paraId="7708D13C" w14:textId="69CA5F99" w:rsidR="002A3F44" w:rsidRPr="00314EF9" w:rsidRDefault="00E17A1C" w:rsidP="00030728">
      <w:pPr>
        <w:spacing w:line="276" w:lineRule="auto"/>
        <w:jc w:val="center"/>
        <w:rPr>
          <w:rFonts w:ascii="Calibri" w:hAnsi="Calibri"/>
          <w:b/>
          <w:sz w:val="22"/>
          <w:szCs w:val="22"/>
        </w:rPr>
      </w:pPr>
      <w:r w:rsidRPr="00314EF9">
        <w:rPr>
          <w:rFonts w:ascii="Calibri" w:hAnsi="Calibri"/>
          <w:b/>
          <w:sz w:val="22"/>
          <w:szCs w:val="22"/>
        </w:rPr>
        <w:t>Fiscal Year 20</w:t>
      </w:r>
      <w:r w:rsidR="00E93DE8">
        <w:rPr>
          <w:rFonts w:ascii="Calibri" w:hAnsi="Calibri"/>
          <w:b/>
          <w:sz w:val="22"/>
          <w:szCs w:val="22"/>
        </w:rPr>
        <w:t>2</w:t>
      </w:r>
      <w:r w:rsidR="007C5246">
        <w:rPr>
          <w:rFonts w:ascii="Calibri" w:hAnsi="Calibri"/>
          <w:b/>
          <w:sz w:val="22"/>
          <w:szCs w:val="22"/>
        </w:rPr>
        <w:t>6</w:t>
      </w:r>
      <w:r w:rsidR="003C7505">
        <w:rPr>
          <w:rFonts w:ascii="Calibri" w:hAnsi="Calibri"/>
          <w:b/>
          <w:sz w:val="22"/>
          <w:szCs w:val="22"/>
        </w:rPr>
        <w:t xml:space="preserve"> – Guide to the </w:t>
      </w:r>
      <w:r w:rsidR="00524A2D" w:rsidRPr="00314EF9">
        <w:rPr>
          <w:rFonts w:ascii="Calibri" w:hAnsi="Calibri"/>
          <w:b/>
          <w:sz w:val="22"/>
          <w:szCs w:val="22"/>
        </w:rPr>
        <w:t>Budget</w:t>
      </w:r>
      <w:r w:rsidR="00394109" w:rsidRPr="00314EF9">
        <w:rPr>
          <w:rFonts w:ascii="Calibri" w:hAnsi="Calibri"/>
          <w:b/>
          <w:sz w:val="22"/>
          <w:szCs w:val="22"/>
        </w:rPr>
        <w:t xml:space="preserve"> Request Template</w:t>
      </w:r>
    </w:p>
    <w:p w14:paraId="284FD2B9" w14:textId="77777777" w:rsidR="002A3F44" w:rsidRPr="00314EF9" w:rsidRDefault="002A3F44" w:rsidP="00030728">
      <w:pPr>
        <w:spacing w:line="276" w:lineRule="auto"/>
        <w:rPr>
          <w:rFonts w:ascii="Calibri" w:hAnsi="Calibri"/>
          <w:sz w:val="22"/>
          <w:szCs w:val="22"/>
        </w:rPr>
      </w:pPr>
    </w:p>
    <w:p w14:paraId="1953DAA7" w14:textId="77777777" w:rsidR="002A3F44" w:rsidRPr="00314EF9" w:rsidRDefault="004B7976" w:rsidP="00030728">
      <w:pPr>
        <w:spacing w:line="276" w:lineRule="auto"/>
        <w:rPr>
          <w:rFonts w:ascii="Calibri" w:hAnsi="Calibri"/>
          <w:b/>
          <w:sz w:val="22"/>
          <w:szCs w:val="22"/>
          <w:u w:val="single"/>
        </w:rPr>
      </w:pPr>
      <w:r w:rsidRPr="00314EF9">
        <w:rPr>
          <w:rFonts w:ascii="Calibri" w:hAnsi="Calibri"/>
          <w:b/>
          <w:sz w:val="22"/>
          <w:szCs w:val="22"/>
          <w:u w:val="single"/>
        </w:rPr>
        <w:t xml:space="preserve">I. </w:t>
      </w:r>
      <w:r w:rsidR="0011395F" w:rsidRPr="00314EF9">
        <w:rPr>
          <w:rFonts w:ascii="Calibri" w:hAnsi="Calibri"/>
          <w:b/>
          <w:sz w:val="22"/>
          <w:szCs w:val="22"/>
          <w:u w:val="single"/>
        </w:rPr>
        <w:t>General Guidance</w:t>
      </w:r>
    </w:p>
    <w:p w14:paraId="40F7EB2B" w14:textId="77777777" w:rsidR="002A3F44" w:rsidRPr="00314EF9" w:rsidRDefault="002A3F44" w:rsidP="00030728">
      <w:pPr>
        <w:spacing w:line="276" w:lineRule="auto"/>
        <w:rPr>
          <w:rFonts w:ascii="Calibri" w:hAnsi="Calibri"/>
          <w:sz w:val="22"/>
          <w:szCs w:val="22"/>
        </w:rPr>
      </w:pPr>
    </w:p>
    <w:p w14:paraId="0205BACC" w14:textId="77777777" w:rsidR="003F789E" w:rsidRDefault="003F789E" w:rsidP="00030728">
      <w:pPr>
        <w:numPr>
          <w:ilvl w:val="0"/>
          <w:numId w:val="2"/>
        </w:numPr>
        <w:tabs>
          <w:tab w:val="clear" w:pos="720"/>
        </w:tabs>
        <w:spacing w:line="276" w:lineRule="auto"/>
        <w:ind w:left="360"/>
        <w:rPr>
          <w:rFonts w:ascii="Calibri" w:hAnsi="Calibri"/>
          <w:sz w:val="22"/>
          <w:szCs w:val="22"/>
        </w:rPr>
      </w:pPr>
      <w:r w:rsidRPr="00C20625">
        <w:rPr>
          <w:rFonts w:ascii="Calibri" w:hAnsi="Calibri"/>
          <w:color w:val="FF0000"/>
          <w:sz w:val="22"/>
          <w:szCs w:val="22"/>
        </w:rPr>
        <w:t>DO NOT use a modified copy of last year’s budget</w:t>
      </w:r>
      <w:r>
        <w:rPr>
          <w:rFonts w:ascii="Calibri" w:hAnsi="Calibri"/>
          <w:sz w:val="22"/>
          <w:szCs w:val="22"/>
        </w:rPr>
        <w:t xml:space="preserve">. The budget must be completed using this year’s template. </w:t>
      </w:r>
    </w:p>
    <w:p w14:paraId="627B77FA" w14:textId="576965EE" w:rsidR="00E93DE8" w:rsidRDefault="009E71B5" w:rsidP="00030728">
      <w:pPr>
        <w:numPr>
          <w:ilvl w:val="0"/>
          <w:numId w:val="2"/>
        </w:numPr>
        <w:tabs>
          <w:tab w:val="clear" w:pos="720"/>
        </w:tabs>
        <w:spacing w:line="276" w:lineRule="auto"/>
        <w:ind w:left="360"/>
        <w:rPr>
          <w:rFonts w:ascii="Calibri" w:hAnsi="Calibri"/>
          <w:sz w:val="22"/>
          <w:szCs w:val="22"/>
        </w:rPr>
      </w:pPr>
      <w:r>
        <w:rPr>
          <w:rFonts w:ascii="Calibri" w:hAnsi="Calibri"/>
          <w:sz w:val="22"/>
          <w:szCs w:val="22"/>
        </w:rPr>
        <w:t xml:space="preserve">Include all, and only, </w:t>
      </w:r>
      <w:r w:rsidR="00D413A7">
        <w:rPr>
          <w:rFonts w:ascii="Calibri" w:hAnsi="Calibri"/>
          <w:sz w:val="22"/>
          <w:szCs w:val="22"/>
        </w:rPr>
        <w:t>chartstrings</w:t>
      </w:r>
      <w:r w:rsidR="002A3F44" w:rsidRPr="00314EF9">
        <w:rPr>
          <w:rFonts w:ascii="Calibri" w:hAnsi="Calibri"/>
          <w:sz w:val="22"/>
          <w:szCs w:val="22"/>
        </w:rPr>
        <w:t xml:space="preserve"> that </w:t>
      </w:r>
      <w:r>
        <w:rPr>
          <w:rFonts w:ascii="Calibri" w:hAnsi="Calibri"/>
          <w:sz w:val="22"/>
          <w:szCs w:val="22"/>
        </w:rPr>
        <w:t>directly support the core or receive recharge revenue from the core</w:t>
      </w:r>
      <w:r w:rsidR="002A3F44" w:rsidRPr="00314EF9">
        <w:rPr>
          <w:rFonts w:ascii="Calibri" w:hAnsi="Calibri"/>
          <w:sz w:val="22"/>
          <w:szCs w:val="22"/>
        </w:rPr>
        <w:t>.</w:t>
      </w:r>
    </w:p>
    <w:p w14:paraId="0A41D713" w14:textId="77777777" w:rsidR="00E93DE8" w:rsidRDefault="00246FD9" w:rsidP="00030728">
      <w:pPr>
        <w:numPr>
          <w:ilvl w:val="1"/>
          <w:numId w:val="2"/>
        </w:numPr>
        <w:spacing w:line="276" w:lineRule="auto"/>
        <w:rPr>
          <w:rFonts w:ascii="Calibri" w:hAnsi="Calibri"/>
          <w:sz w:val="22"/>
          <w:szCs w:val="22"/>
        </w:rPr>
      </w:pPr>
      <w:r w:rsidRPr="00B063FF">
        <w:rPr>
          <w:rFonts w:ascii="Calibri" w:hAnsi="Calibri"/>
          <w:sz w:val="22"/>
          <w:szCs w:val="22"/>
          <w:u w:val="single"/>
        </w:rPr>
        <w:t>DO</w:t>
      </w:r>
      <w:r>
        <w:rPr>
          <w:rFonts w:ascii="Calibri" w:hAnsi="Calibri"/>
          <w:sz w:val="22"/>
          <w:szCs w:val="22"/>
        </w:rPr>
        <w:t xml:space="preserve"> include chartstrings that provide support to the core’s recharge operation (</w:t>
      </w:r>
      <w:r w:rsidR="00E93DE8">
        <w:rPr>
          <w:rFonts w:ascii="Calibri" w:hAnsi="Calibri"/>
          <w:sz w:val="22"/>
          <w:szCs w:val="22"/>
        </w:rPr>
        <w:t>e.g. funds to subsidize rates).</w:t>
      </w:r>
    </w:p>
    <w:p w14:paraId="1DC92890" w14:textId="6F204A35" w:rsidR="00246FD9" w:rsidRDefault="00246FD9" w:rsidP="00030728">
      <w:pPr>
        <w:numPr>
          <w:ilvl w:val="1"/>
          <w:numId w:val="2"/>
        </w:numPr>
        <w:spacing w:line="276" w:lineRule="auto"/>
        <w:rPr>
          <w:rFonts w:ascii="Calibri" w:hAnsi="Calibri"/>
          <w:sz w:val="22"/>
          <w:szCs w:val="22"/>
        </w:rPr>
      </w:pPr>
      <w:r w:rsidRPr="00B063FF">
        <w:rPr>
          <w:rFonts w:ascii="Calibri" w:hAnsi="Calibri"/>
          <w:sz w:val="22"/>
          <w:szCs w:val="22"/>
          <w:u w:val="single"/>
        </w:rPr>
        <w:t>DO NOT</w:t>
      </w:r>
      <w:r>
        <w:rPr>
          <w:rFonts w:ascii="Calibri" w:hAnsi="Calibri"/>
          <w:sz w:val="22"/>
          <w:szCs w:val="22"/>
        </w:rPr>
        <w:t xml:space="preserve"> include chartstrings that are for dedicated effort (e.g. R01 funding to support work for a specific lab</w:t>
      </w:r>
      <w:r w:rsidR="00B063FF">
        <w:rPr>
          <w:rFonts w:ascii="Calibri" w:hAnsi="Calibri"/>
          <w:sz w:val="22"/>
          <w:szCs w:val="22"/>
        </w:rPr>
        <w:t xml:space="preserve"> or investigator</w:t>
      </w:r>
      <w:r>
        <w:rPr>
          <w:rFonts w:ascii="Calibri" w:hAnsi="Calibri"/>
          <w:sz w:val="22"/>
          <w:szCs w:val="22"/>
        </w:rPr>
        <w:t>).</w:t>
      </w:r>
    </w:p>
    <w:p w14:paraId="743A6E00" w14:textId="0094C690" w:rsidR="000E190B" w:rsidRDefault="000E190B" w:rsidP="00030728">
      <w:pPr>
        <w:numPr>
          <w:ilvl w:val="1"/>
          <w:numId w:val="2"/>
        </w:numPr>
        <w:spacing w:line="276" w:lineRule="auto"/>
        <w:rPr>
          <w:rFonts w:ascii="Calibri" w:hAnsi="Calibri"/>
          <w:sz w:val="22"/>
          <w:szCs w:val="22"/>
        </w:rPr>
      </w:pPr>
      <w:r>
        <w:rPr>
          <w:rFonts w:ascii="Calibri" w:hAnsi="Calibri"/>
          <w:sz w:val="22"/>
          <w:szCs w:val="22"/>
          <w:u w:val="single"/>
        </w:rPr>
        <w:t>DO NOT</w:t>
      </w:r>
      <w:r w:rsidRPr="000E190B">
        <w:rPr>
          <w:rFonts w:ascii="Calibri" w:hAnsi="Calibri"/>
          <w:sz w:val="22"/>
          <w:szCs w:val="22"/>
        </w:rPr>
        <w:t xml:space="preserve"> include equipment awards (S10, MRI).</w:t>
      </w:r>
    </w:p>
    <w:p w14:paraId="30DBE659" w14:textId="28B5229D" w:rsidR="009E6C02" w:rsidRDefault="00400820" w:rsidP="00030728">
      <w:pPr>
        <w:numPr>
          <w:ilvl w:val="0"/>
          <w:numId w:val="2"/>
        </w:numPr>
        <w:tabs>
          <w:tab w:val="clear" w:pos="720"/>
        </w:tabs>
        <w:spacing w:line="276" w:lineRule="auto"/>
        <w:ind w:left="360"/>
        <w:rPr>
          <w:rFonts w:ascii="Calibri" w:hAnsi="Calibri"/>
          <w:sz w:val="22"/>
          <w:szCs w:val="22"/>
        </w:rPr>
      </w:pPr>
      <w:r w:rsidRPr="00314EF9">
        <w:rPr>
          <w:rFonts w:ascii="Calibri" w:hAnsi="Calibri"/>
          <w:sz w:val="22"/>
          <w:szCs w:val="22"/>
        </w:rPr>
        <w:t xml:space="preserve">Each </w:t>
      </w:r>
      <w:r w:rsidR="00D413A7">
        <w:rPr>
          <w:rFonts w:ascii="Calibri" w:hAnsi="Calibri"/>
          <w:sz w:val="22"/>
          <w:szCs w:val="22"/>
        </w:rPr>
        <w:t>chartstring</w:t>
      </w:r>
      <w:r w:rsidRPr="00314EF9">
        <w:rPr>
          <w:rFonts w:ascii="Calibri" w:hAnsi="Calibri"/>
          <w:sz w:val="22"/>
          <w:szCs w:val="22"/>
        </w:rPr>
        <w:t xml:space="preserve"> should be presented as a</w:t>
      </w:r>
      <w:r w:rsidR="00EA1E38" w:rsidRPr="00314EF9">
        <w:rPr>
          <w:rFonts w:ascii="Calibri" w:hAnsi="Calibri"/>
          <w:sz w:val="22"/>
          <w:szCs w:val="22"/>
        </w:rPr>
        <w:t xml:space="preserve"> column</w:t>
      </w:r>
      <w:r w:rsidRPr="00314EF9">
        <w:rPr>
          <w:rFonts w:ascii="Calibri" w:hAnsi="Calibri"/>
          <w:sz w:val="22"/>
          <w:szCs w:val="22"/>
        </w:rPr>
        <w:t xml:space="preserve"> </w:t>
      </w:r>
      <w:r w:rsidR="00EA1E38" w:rsidRPr="00314EF9">
        <w:rPr>
          <w:rFonts w:ascii="Calibri" w:hAnsi="Calibri"/>
          <w:sz w:val="22"/>
          <w:szCs w:val="22"/>
        </w:rPr>
        <w:t xml:space="preserve">under </w:t>
      </w:r>
      <w:r w:rsidRPr="00314EF9">
        <w:rPr>
          <w:rFonts w:ascii="Calibri" w:hAnsi="Calibri"/>
          <w:sz w:val="22"/>
          <w:szCs w:val="22"/>
        </w:rPr>
        <w:t xml:space="preserve">the relevant </w:t>
      </w:r>
      <w:r w:rsidR="00EA1E38" w:rsidRPr="00314EF9">
        <w:rPr>
          <w:rFonts w:ascii="Calibri" w:hAnsi="Calibri"/>
          <w:sz w:val="22"/>
          <w:szCs w:val="22"/>
        </w:rPr>
        <w:t>fiscal year</w:t>
      </w:r>
      <w:r w:rsidRPr="00314EF9">
        <w:rPr>
          <w:rFonts w:ascii="Calibri" w:hAnsi="Calibri"/>
          <w:sz w:val="22"/>
          <w:szCs w:val="22"/>
        </w:rPr>
        <w:t>(s). I</w:t>
      </w:r>
      <w:r w:rsidR="00EA1E38" w:rsidRPr="00314EF9">
        <w:rPr>
          <w:rFonts w:ascii="Calibri" w:hAnsi="Calibri"/>
          <w:sz w:val="22"/>
          <w:szCs w:val="22"/>
        </w:rPr>
        <w:t xml:space="preserve">f you need to add additional </w:t>
      </w:r>
      <w:r w:rsidR="00D413A7">
        <w:rPr>
          <w:rFonts w:ascii="Calibri" w:hAnsi="Calibri"/>
          <w:sz w:val="22"/>
          <w:szCs w:val="22"/>
        </w:rPr>
        <w:t>char</w:t>
      </w:r>
      <w:r w:rsidR="001A493B">
        <w:rPr>
          <w:rFonts w:ascii="Calibri" w:hAnsi="Calibri"/>
          <w:sz w:val="22"/>
          <w:szCs w:val="22"/>
        </w:rPr>
        <w:t>t</w:t>
      </w:r>
      <w:r w:rsidR="00D413A7">
        <w:rPr>
          <w:rFonts w:ascii="Calibri" w:hAnsi="Calibri"/>
          <w:sz w:val="22"/>
          <w:szCs w:val="22"/>
        </w:rPr>
        <w:t>strings</w:t>
      </w:r>
      <w:r w:rsidR="00EA1E38" w:rsidRPr="00314EF9">
        <w:rPr>
          <w:rFonts w:ascii="Calibri" w:hAnsi="Calibri"/>
          <w:sz w:val="22"/>
          <w:szCs w:val="22"/>
        </w:rPr>
        <w:t xml:space="preserve">, </w:t>
      </w:r>
      <w:r w:rsidRPr="00314EF9">
        <w:rPr>
          <w:rFonts w:ascii="Calibri" w:hAnsi="Calibri"/>
          <w:sz w:val="22"/>
          <w:szCs w:val="22"/>
        </w:rPr>
        <w:t xml:space="preserve">you </w:t>
      </w:r>
      <w:r w:rsidR="00D413A7">
        <w:rPr>
          <w:rFonts w:ascii="Calibri" w:hAnsi="Calibri"/>
          <w:sz w:val="22"/>
          <w:szCs w:val="22"/>
        </w:rPr>
        <w:t>can</w:t>
      </w:r>
      <w:r w:rsidRPr="00314EF9">
        <w:rPr>
          <w:rFonts w:ascii="Calibri" w:hAnsi="Calibri"/>
          <w:sz w:val="22"/>
          <w:szCs w:val="22"/>
        </w:rPr>
        <w:t xml:space="preserve"> insert additional </w:t>
      </w:r>
      <w:r w:rsidR="00EA1E38" w:rsidRPr="00314EF9">
        <w:rPr>
          <w:rFonts w:ascii="Calibri" w:hAnsi="Calibri"/>
          <w:sz w:val="22"/>
          <w:szCs w:val="22"/>
        </w:rPr>
        <w:t>column</w:t>
      </w:r>
      <w:r w:rsidRPr="00314EF9">
        <w:rPr>
          <w:rFonts w:ascii="Calibri" w:hAnsi="Calibri"/>
          <w:sz w:val="22"/>
          <w:szCs w:val="22"/>
        </w:rPr>
        <w:t>s</w:t>
      </w:r>
      <w:r w:rsidR="00EA1E38" w:rsidRPr="00314EF9">
        <w:rPr>
          <w:rFonts w:ascii="Calibri" w:hAnsi="Calibri"/>
          <w:sz w:val="22"/>
          <w:szCs w:val="22"/>
        </w:rPr>
        <w:t>.</w:t>
      </w:r>
      <w:r w:rsidRPr="00314EF9">
        <w:rPr>
          <w:rFonts w:ascii="Calibri" w:hAnsi="Calibri"/>
          <w:sz w:val="22"/>
          <w:szCs w:val="22"/>
        </w:rPr>
        <w:t xml:space="preserve"> Y</w:t>
      </w:r>
      <w:r w:rsidR="0012197A" w:rsidRPr="00314EF9">
        <w:rPr>
          <w:rFonts w:ascii="Calibri" w:hAnsi="Calibri"/>
          <w:sz w:val="22"/>
          <w:szCs w:val="22"/>
        </w:rPr>
        <w:t xml:space="preserve">ou </w:t>
      </w:r>
      <w:r w:rsidRPr="00314EF9">
        <w:rPr>
          <w:rFonts w:ascii="Calibri" w:hAnsi="Calibri"/>
          <w:sz w:val="22"/>
          <w:szCs w:val="22"/>
        </w:rPr>
        <w:t xml:space="preserve">must </w:t>
      </w:r>
      <w:r w:rsidR="003C7505">
        <w:rPr>
          <w:rFonts w:ascii="Calibri" w:hAnsi="Calibri"/>
          <w:sz w:val="22"/>
          <w:szCs w:val="22"/>
        </w:rPr>
        <w:t>provide</w:t>
      </w:r>
      <w:r w:rsidR="0012197A" w:rsidRPr="00314EF9">
        <w:rPr>
          <w:rFonts w:ascii="Calibri" w:hAnsi="Calibri"/>
          <w:sz w:val="22"/>
          <w:szCs w:val="22"/>
        </w:rPr>
        <w:t xml:space="preserve"> </w:t>
      </w:r>
      <w:r w:rsidR="009E6C02" w:rsidRPr="00314EF9">
        <w:rPr>
          <w:rFonts w:ascii="Calibri" w:hAnsi="Calibri"/>
          <w:sz w:val="22"/>
          <w:szCs w:val="22"/>
        </w:rPr>
        <w:t>the char</w:t>
      </w:r>
      <w:r w:rsidR="006A6E0C" w:rsidRPr="00314EF9">
        <w:rPr>
          <w:rFonts w:ascii="Calibri" w:hAnsi="Calibri"/>
          <w:sz w:val="22"/>
          <w:szCs w:val="22"/>
        </w:rPr>
        <w:t>t</w:t>
      </w:r>
      <w:r w:rsidR="009E6C02" w:rsidRPr="00314EF9">
        <w:rPr>
          <w:rFonts w:ascii="Calibri" w:hAnsi="Calibri"/>
          <w:sz w:val="22"/>
          <w:szCs w:val="22"/>
        </w:rPr>
        <w:t xml:space="preserve">string </w:t>
      </w:r>
      <w:r w:rsidR="00D413A7">
        <w:rPr>
          <w:rFonts w:ascii="Calibri" w:hAnsi="Calibri"/>
          <w:sz w:val="22"/>
          <w:szCs w:val="22"/>
        </w:rPr>
        <w:t xml:space="preserve">number </w:t>
      </w:r>
      <w:r w:rsidR="009E6C02" w:rsidRPr="00314EF9">
        <w:rPr>
          <w:rFonts w:ascii="Calibri" w:hAnsi="Calibri"/>
          <w:sz w:val="22"/>
          <w:szCs w:val="22"/>
        </w:rPr>
        <w:t xml:space="preserve">and department </w:t>
      </w:r>
      <w:r w:rsidR="00D413A7">
        <w:rPr>
          <w:rFonts w:ascii="Calibri" w:hAnsi="Calibri"/>
          <w:sz w:val="22"/>
          <w:szCs w:val="22"/>
        </w:rPr>
        <w:t>name in each column</w:t>
      </w:r>
      <w:r w:rsidR="0012197A" w:rsidRPr="00314EF9">
        <w:rPr>
          <w:rFonts w:ascii="Calibri" w:hAnsi="Calibri"/>
          <w:sz w:val="22"/>
          <w:szCs w:val="22"/>
        </w:rPr>
        <w:t>.</w:t>
      </w:r>
    </w:p>
    <w:p w14:paraId="7F20ADB0" w14:textId="3A8A7FAE" w:rsidR="00D413A7" w:rsidRPr="00314EF9" w:rsidRDefault="00D413A7" w:rsidP="00030728">
      <w:pPr>
        <w:numPr>
          <w:ilvl w:val="0"/>
          <w:numId w:val="2"/>
        </w:numPr>
        <w:tabs>
          <w:tab w:val="clear" w:pos="720"/>
        </w:tabs>
        <w:spacing w:line="276" w:lineRule="auto"/>
        <w:ind w:left="360"/>
        <w:rPr>
          <w:rFonts w:ascii="Calibri" w:hAnsi="Calibri"/>
          <w:sz w:val="22"/>
          <w:szCs w:val="22"/>
        </w:rPr>
      </w:pPr>
      <w:r>
        <w:rPr>
          <w:rFonts w:ascii="Calibri" w:hAnsi="Calibri"/>
          <w:sz w:val="22"/>
          <w:szCs w:val="22"/>
        </w:rPr>
        <w:t xml:space="preserve">Specific columns </w:t>
      </w:r>
      <w:r w:rsidR="001A493B">
        <w:rPr>
          <w:rFonts w:ascii="Calibri" w:hAnsi="Calibri"/>
          <w:sz w:val="22"/>
          <w:szCs w:val="22"/>
        </w:rPr>
        <w:t xml:space="preserve">are provided </w:t>
      </w:r>
      <w:r>
        <w:rPr>
          <w:rFonts w:ascii="Calibri" w:hAnsi="Calibri"/>
          <w:sz w:val="22"/>
          <w:szCs w:val="22"/>
        </w:rPr>
        <w:t xml:space="preserve">for </w:t>
      </w:r>
      <w:r w:rsidR="001A3F3F">
        <w:rPr>
          <w:rFonts w:ascii="Calibri" w:hAnsi="Calibri"/>
          <w:sz w:val="22"/>
          <w:szCs w:val="22"/>
        </w:rPr>
        <w:t>C</w:t>
      </w:r>
      <w:r>
        <w:rPr>
          <w:rFonts w:ascii="Calibri" w:hAnsi="Calibri"/>
          <w:sz w:val="22"/>
          <w:szCs w:val="22"/>
        </w:rPr>
        <w:t xml:space="preserve">apital </w:t>
      </w:r>
      <w:r w:rsidR="001A3F3F">
        <w:rPr>
          <w:rFonts w:ascii="Calibri" w:hAnsi="Calibri"/>
          <w:sz w:val="22"/>
          <w:szCs w:val="22"/>
        </w:rPr>
        <w:t>R</w:t>
      </w:r>
      <w:r>
        <w:rPr>
          <w:rFonts w:ascii="Calibri" w:hAnsi="Calibri"/>
          <w:sz w:val="22"/>
          <w:szCs w:val="22"/>
        </w:rPr>
        <w:t xml:space="preserve">eserve </w:t>
      </w:r>
      <w:r w:rsidR="001A493B">
        <w:rPr>
          <w:rFonts w:ascii="Calibri" w:hAnsi="Calibri"/>
          <w:sz w:val="22"/>
          <w:szCs w:val="22"/>
        </w:rPr>
        <w:t xml:space="preserve">accounts </w:t>
      </w:r>
      <w:r>
        <w:rPr>
          <w:rFonts w:ascii="Calibri" w:hAnsi="Calibri"/>
          <w:sz w:val="22"/>
          <w:szCs w:val="22"/>
        </w:rPr>
        <w:t>(</w:t>
      </w:r>
      <w:r w:rsidR="001A3F3F">
        <w:rPr>
          <w:rFonts w:ascii="Calibri" w:hAnsi="Calibri"/>
          <w:sz w:val="22"/>
          <w:szCs w:val="22"/>
        </w:rPr>
        <w:t xml:space="preserve">general </w:t>
      </w:r>
      <w:r>
        <w:rPr>
          <w:rFonts w:ascii="Calibri" w:hAnsi="Calibri"/>
          <w:sz w:val="22"/>
          <w:szCs w:val="22"/>
        </w:rPr>
        <w:t>equip</w:t>
      </w:r>
      <w:r w:rsidR="001A3F3F">
        <w:rPr>
          <w:rFonts w:ascii="Calibri" w:hAnsi="Calibri"/>
          <w:sz w:val="22"/>
          <w:szCs w:val="22"/>
        </w:rPr>
        <w:t>ment depreciation) and for OR Depreciation</w:t>
      </w:r>
      <w:r w:rsidR="00A56891">
        <w:rPr>
          <w:rFonts w:ascii="Calibri" w:hAnsi="Calibri"/>
          <w:sz w:val="22"/>
          <w:szCs w:val="22"/>
        </w:rPr>
        <w:t xml:space="preserve"> (</w:t>
      </w:r>
      <w:r w:rsidR="001A3F3F">
        <w:rPr>
          <w:rFonts w:ascii="Calibri" w:hAnsi="Calibri"/>
          <w:sz w:val="22"/>
          <w:szCs w:val="22"/>
        </w:rPr>
        <w:t>N</w:t>
      </w:r>
      <w:r w:rsidR="003D1003">
        <w:rPr>
          <w:rFonts w:ascii="Calibri" w:hAnsi="Calibri"/>
          <w:sz w:val="22"/>
          <w:szCs w:val="22"/>
        </w:rPr>
        <w:t>U</w:t>
      </w:r>
      <w:r w:rsidR="001A3F3F">
        <w:rPr>
          <w:rFonts w:ascii="Calibri" w:hAnsi="Calibri"/>
          <w:sz w:val="22"/>
          <w:szCs w:val="22"/>
        </w:rPr>
        <w:t xml:space="preserve"> Office for Research ReLODE loans</w:t>
      </w:r>
      <w:r w:rsidR="00A56891">
        <w:rPr>
          <w:rFonts w:ascii="Calibri" w:hAnsi="Calibri"/>
          <w:sz w:val="22"/>
          <w:szCs w:val="22"/>
        </w:rPr>
        <w:t>)</w:t>
      </w:r>
      <w:r w:rsidR="001A3F3F">
        <w:rPr>
          <w:rFonts w:ascii="Calibri" w:hAnsi="Calibri"/>
          <w:sz w:val="22"/>
          <w:szCs w:val="22"/>
        </w:rPr>
        <w:t>.</w:t>
      </w:r>
    </w:p>
    <w:p w14:paraId="23B4231D" w14:textId="1D7AFEFA" w:rsidR="002A3F44" w:rsidRPr="00314EF9" w:rsidRDefault="008F0E9F" w:rsidP="00030728">
      <w:pPr>
        <w:numPr>
          <w:ilvl w:val="0"/>
          <w:numId w:val="2"/>
        </w:numPr>
        <w:tabs>
          <w:tab w:val="clear" w:pos="720"/>
        </w:tabs>
        <w:spacing w:line="276" w:lineRule="auto"/>
        <w:ind w:left="360"/>
        <w:rPr>
          <w:rFonts w:ascii="Calibri" w:hAnsi="Calibri"/>
          <w:sz w:val="22"/>
          <w:szCs w:val="22"/>
        </w:rPr>
      </w:pPr>
      <w:r w:rsidRPr="00314EF9">
        <w:rPr>
          <w:rFonts w:ascii="Calibri" w:hAnsi="Calibri"/>
          <w:sz w:val="22"/>
          <w:szCs w:val="22"/>
        </w:rPr>
        <w:t xml:space="preserve">If you need to add revenue or expense items that are not </w:t>
      </w:r>
      <w:r w:rsidR="00522013">
        <w:rPr>
          <w:rFonts w:ascii="Calibri" w:hAnsi="Calibri"/>
          <w:sz w:val="22"/>
          <w:szCs w:val="22"/>
        </w:rPr>
        <w:t>specifically listed i</w:t>
      </w:r>
      <w:r w:rsidRPr="00314EF9">
        <w:rPr>
          <w:rFonts w:ascii="Calibri" w:hAnsi="Calibri"/>
          <w:sz w:val="22"/>
          <w:szCs w:val="22"/>
        </w:rPr>
        <w:t>n the spreadsheet, please</w:t>
      </w:r>
      <w:r w:rsidR="006A6E0C" w:rsidRPr="00314EF9">
        <w:rPr>
          <w:rFonts w:ascii="Calibri" w:hAnsi="Calibri"/>
          <w:sz w:val="22"/>
          <w:szCs w:val="22"/>
        </w:rPr>
        <w:t xml:space="preserve"> use the lines labeled “Other </w:t>
      </w:r>
      <w:r w:rsidR="00B063FF">
        <w:rPr>
          <w:rFonts w:ascii="Calibri" w:hAnsi="Calibri"/>
          <w:sz w:val="22"/>
          <w:szCs w:val="22"/>
        </w:rPr>
        <w:t>Support</w:t>
      </w:r>
      <w:r w:rsidR="006A6E0C" w:rsidRPr="00314EF9">
        <w:rPr>
          <w:rFonts w:ascii="Calibri" w:hAnsi="Calibri"/>
          <w:sz w:val="22"/>
          <w:szCs w:val="22"/>
        </w:rPr>
        <w:t>” and “Other Expense”</w:t>
      </w:r>
      <w:r w:rsidRPr="00314EF9">
        <w:rPr>
          <w:rFonts w:ascii="Calibri" w:hAnsi="Calibri"/>
          <w:sz w:val="22"/>
          <w:szCs w:val="22"/>
        </w:rPr>
        <w:t xml:space="preserve"> </w:t>
      </w:r>
      <w:r w:rsidR="00400820" w:rsidRPr="00314EF9">
        <w:rPr>
          <w:rFonts w:ascii="Calibri" w:hAnsi="Calibri"/>
          <w:sz w:val="22"/>
          <w:szCs w:val="22"/>
        </w:rPr>
        <w:t>(</w:t>
      </w:r>
      <w:r w:rsidR="006A6E0C" w:rsidRPr="00314EF9">
        <w:rPr>
          <w:rFonts w:ascii="Calibri" w:hAnsi="Calibri"/>
          <w:sz w:val="22"/>
          <w:szCs w:val="22"/>
        </w:rPr>
        <w:t>rename as appropriate</w:t>
      </w:r>
      <w:r w:rsidR="00400820" w:rsidRPr="00314EF9">
        <w:rPr>
          <w:rFonts w:ascii="Calibri" w:hAnsi="Calibri"/>
          <w:sz w:val="22"/>
          <w:szCs w:val="22"/>
        </w:rPr>
        <w:t>)</w:t>
      </w:r>
      <w:r w:rsidR="006A6E0C" w:rsidRPr="00314EF9">
        <w:rPr>
          <w:rFonts w:ascii="Calibri" w:hAnsi="Calibri"/>
          <w:sz w:val="22"/>
          <w:szCs w:val="22"/>
        </w:rPr>
        <w:t xml:space="preserve">. Additional rows can </w:t>
      </w:r>
      <w:r w:rsidR="00400820" w:rsidRPr="00314EF9">
        <w:rPr>
          <w:rFonts w:ascii="Calibri" w:hAnsi="Calibri"/>
          <w:sz w:val="22"/>
          <w:szCs w:val="22"/>
        </w:rPr>
        <w:t xml:space="preserve">also </w:t>
      </w:r>
      <w:r w:rsidR="006A6E0C" w:rsidRPr="00314EF9">
        <w:rPr>
          <w:rFonts w:ascii="Calibri" w:hAnsi="Calibri"/>
          <w:sz w:val="22"/>
          <w:szCs w:val="22"/>
        </w:rPr>
        <w:t>be inserted as necessary</w:t>
      </w:r>
      <w:r w:rsidRPr="00314EF9">
        <w:rPr>
          <w:rFonts w:ascii="Calibri" w:hAnsi="Calibri"/>
          <w:sz w:val="22"/>
          <w:szCs w:val="22"/>
        </w:rPr>
        <w:t>.</w:t>
      </w:r>
    </w:p>
    <w:p w14:paraId="50B3D1D9" w14:textId="3DDEBC89" w:rsidR="002A3F44" w:rsidRPr="00314EF9" w:rsidRDefault="00400820" w:rsidP="00030728">
      <w:pPr>
        <w:numPr>
          <w:ilvl w:val="0"/>
          <w:numId w:val="2"/>
        </w:numPr>
        <w:tabs>
          <w:tab w:val="clear" w:pos="720"/>
        </w:tabs>
        <w:spacing w:line="276" w:lineRule="auto"/>
        <w:ind w:left="360"/>
        <w:rPr>
          <w:rFonts w:ascii="Calibri" w:hAnsi="Calibri"/>
          <w:sz w:val="22"/>
          <w:szCs w:val="22"/>
        </w:rPr>
      </w:pPr>
      <w:r w:rsidRPr="00314EF9">
        <w:rPr>
          <w:rFonts w:ascii="Calibri" w:hAnsi="Calibri"/>
          <w:sz w:val="22"/>
          <w:szCs w:val="22"/>
        </w:rPr>
        <w:t xml:space="preserve">Be sure to put all revenue and expense under the correct </w:t>
      </w:r>
      <w:r w:rsidR="00D413A7">
        <w:rPr>
          <w:rFonts w:ascii="Calibri" w:hAnsi="Calibri"/>
          <w:sz w:val="22"/>
          <w:szCs w:val="22"/>
        </w:rPr>
        <w:t>chartstring</w:t>
      </w:r>
      <w:r w:rsidR="0025577D">
        <w:rPr>
          <w:rFonts w:ascii="Calibri" w:hAnsi="Calibri"/>
          <w:sz w:val="22"/>
          <w:szCs w:val="22"/>
        </w:rPr>
        <w:t xml:space="preserve">, </w:t>
      </w:r>
      <w:r w:rsidRPr="00314EF9">
        <w:rPr>
          <w:rFonts w:ascii="Calibri" w:hAnsi="Calibri"/>
          <w:sz w:val="22"/>
          <w:szCs w:val="22"/>
        </w:rPr>
        <w:t>though m</w:t>
      </w:r>
      <w:r w:rsidR="002A3F44" w:rsidRPr="00314EF9">
        <w:rPr>
          <w:rFonts w:ascii="Calibri" w:hAnsi="Calibri"/>
          <w:sz w:val="22"/>
          <w:szCs w:val="22"/>
        </w:rPr>
        <w:t>ost of the Core</w:t>
      </w:r>
      <w:r w:rsidR="009E6C02" w:rsidRPr="00314EF9">
        <w:rPr>
          <w:rFonts w:ascii="Calibri" w:hAnsi="Calibri"/>
          <w:sz w:val="22"/>
          <w:szCs w:val="22"/>
        </w:rPr>
        <w:t>’s</w:t>
      </w:r>
      <w:r w:rsidR="002A3F44" w:rsidRPr="00314EF9">
        <w:rPr>
          <w:rFonts w:ascii="Calibri" w:hAnsi="Calibri"/>
          <w:sz w:val="22"/>
          <w:szCs w:val="22"/>
        </w:rPr>
        <w:t xml:space="preserve"> reven</w:t>
      </w:r>
      <w:r w:rsidR="002740E1" w:rsidRPr="00314EF9">
        <w:rPr>
          <w:rFonts w:ascii="Calibri" w:hAnsi="Calibri"/>
          <w:sz w:val="22"/>
          <w:szCs w:val="22"/>
        </w:rPr>
        <w:t xml:space="preserve">ue and expense should be </w:t>
      </w:r>
      <w:r w:rsidRPr="00314EF9">
        <w:rPr>
          <w:rFonts w:ascii="Calibri" w:hAnsi="Calibri"/>
          <w:sz w:val="22"/>
          <w:szCs w:val="22"/>
        </w:rPr>
        <w:t xml:space="preserve">under </w:t>
      </w:r>
      <w:r w:rsidR="002A3F44" w:rsidRPr="00314EF9">
        <w:rPr>
          <w:rFonts w:ascii="Calibri" w:hAnsi="Calibri"/>
          <w:sz w:val="22"/>
          <w:szCs w:val="22"/>
        </w:rPr>
        <w:t xml:space="preserve">the </w:t>
      </w:r>
      <w:r w:rsidR="0025577D">
        <w:rPr>
          <w:rFonts w:ascii="Calibri" w:hAnsi="Calibri"/>
          <w:sz w:val="22"/>
          <w:szCs w:val="22"/>
        </w:rPr>
        <w:t>r</w:t>
      </w:r>
      <w:r w:rsidR="004E4C2B" w:rsidRPr="00314EF9">
        <w:rPr>
          <w:rFonts w:ascii="Calibri" w:hAnsi="Calibri"/>
          <w:sz w:val="22"/>
          <w:szCs w:val="22"/>
        </w:rPr>
        <w:t xml:space="preserve">echarge </w:t>
      </w:r>
      <w:r w:rsidR="00D413A7">
        <w:rPr>
          <w:rFonts w:ascii="Calibri" w:hAnsi="Calibri"/>
          <w:sz w:val="22"/>
          <w:szCs w:val="22"/>
        </w:rPr>
        <w:t>chartstring</w:t>
      </w:r>
      <w:r w:rsidR="002A3F44" w:rsidRPr="00314EF9">
        <w:rPr>
          <w:rFonts w:ascii="Calibri" w:hAnsi="Calibri"/>
          <w:sz w:val="22"/>
          <w:szCs w:val="22"/>
        </w:rPr>
        <w:t>.</w:t>
      </w:r>
      <w:r w:rsidR="00F61F50">
        <w:rPr>
          <w:rFonts w:ascii="Calibri" w:hAnsi="Calibri"/>
          <w:sz w:val="22"/>
          <w:szCs w:val="22"/>
        </w:rPr>
        <w:t xml:space="preserve"> Only report revenue and expense related to the Core’s activities; </w:t>
      </w:r>
      <w:r w:rsidR="00A256D8">
        <w:rPr>
          <w:rFonts w:ascii="Calibri" w:hAnsi="Calibri"/>
          <w:sz w:val="22"/>
          <w:szCs w:val="22"/>
        </w:rPr>
        <w:t xml:space="preserve">non-core related </w:t>
      </w:r>
      <w:r w:rsidR="00F61F50">
        <w:rPr>
          <w:rFonts w:ascii="Calibri" w:hAnsi="Calibri"/>
          <w:sz w:val="22"/>
          <w:szCs w:val="22"/>
        </w:rPr>
        <w:t xml:space="preserve">activity on chartstrings </w:t>
      </w:r>
      <w:r w:rsidR="00A256D8">
        <w:rPr>
          <w:rFonts w:ascii="Calibri" w:hAnsi="Calibri"/>
          <w:sz w:val="22"/>
          <w:szCs w:val="22"/>
        </w:rPr>
        <w:t xml:space="preserve">that support the core </w:t>
      </w:r>
      <w:r w:rsidR="00F61F50">
        <w:rPr>
          <w:rFonts w:ascii="Calibri" w:hAnsi="Calibri"/>
          <w:sz w:val="22"/>
          <w:szCs w:val="22"/>
        </w:rPr>
        <w:t>should be omitted.</w:t>
      </w:r>
    </w:p>
    <w:p w14:paraId="1D864228" w14:textId="4FDD2B28" w:rsidR="003F789E" w:rsidRDefault="00D42A40" w:rsidP="00030728">
      <w:pPr>
        <w:numPr>
          <w:ilvl w:val="0"/>
          <w:numId w:val="2"/>
        </w:numPr>
        <w:tabs>
          <w:tab w:val="clear" w:pos="720"/>
        </w:tabs>
        <w:spacing w:line="276" w:lineRule="auto"/>
        <w:ind w:left="360"/>
        <w:rPr>
          <w:rFonts w:ascii="Calibri" w:hAnsi="Calibri"/>
          <w:sz w:val="22"/>
          <w:szCs w:val="22"/>
        </w:rPr>
      </w:pPr>
      <w:r w:rsidRPr="003F789E">
        <w:rPr>
          <w:rFonts w:ascii="Calibri" w:hAnsi="Calibri"/>
          <w:sz w:val="22"/>
          <w:szCs w:val="22"/>
        </w:rPr>
        <w:t>Revenue and e</w:t>
      </w:r>
      <w:r w:rsidR="0085695A" w:rsidRPr="003F789E">
        <w:rPr>
          <w:rFonts w:ascii="Calibri" w:hAnsi="Calibri"/>
          <w:sz w:val="22"/>
          <w:szCs w:val="22"/>
        </w:rPr>
        <w:t xml:space="preserve">xpense </w:t>
      </w:r>
      <w:r w:rsidR="008E008D" w:rsidRPr="003F789E">
        <w:rPr>
          <w:rFonts w:ascii="Calibri" w:hAnsi="Calibri"/>
          <w:sz w:val="22"/>
          <w:szCs w:val="22"/>
        </w:rPr>
        <w:t xml:space="preserve">for the Core </w:t>
      </w:r>
      <w:r w:rsidR="00B04954" w:rsidRPr="003F789E">
        <w:rPr>
          <w:rFonts w:ascii="Calibri" w:hAnsi="Calibri"/>
          <w:sz w:val="22"/>
          <w:szCs w:val="22"/>
        </w:rPr>
        <w:t>must be completed</w:t>
      </w:r>
      <w:r w:rsidR="0085695A" w:rsidRPr="003F789E">
        <w:rPr>
          <w:rFonts w:ascii="Calibri" w:hAnsi="Calibri"/>
          <w:sz w:val="22"/>
          <w:szCs w:val="22"/>
        </w:rPr>
        <w:t xml:space="preserve"> for all 3 years</w:t>
      </w:r>
      <w:r w:rsidR="001A3F3F">
        <w:rPr>
          <w:rFonts w:ascii="Calibri" w:hAnsi="Calibri"/>
          <w:sz w:val="22"/>
          <w:szCs w:val="22"/>
        </w:rPr>
        <w:t>.</w:t>
      </w:r>
      <w:r w:rsidR="0085695A" w:rsidRPr="003F789E">
        <w:rPr>
          <w:rFonts w:ascii="Calibri" w:hAnsi="Calibri"/>
          <w:sz w:val="22"/>
          <w:szCs w:val="22"/>
        </w:rPr>
        <w:t xml:space="preserve"> </w:t>
      </w:r>
      <w:r w:rsidR="001A3F3F">
        <w:rPr>
          <w:rFonts w:ascii="Calibri" w:hAnsi="Calibri"/>
          <w:sz w:val="22"/>
          <w:szCs w:val="22"/>
        </w:rPr>
        <w:t>Data for FY</w:t>
      </w:r>
      <w:r w:rsidR="00DC1C21">
        <w:rPr>
          <w:rFonts w:ascii="Calibri" w:hAnsi="Calibri"/>
          <w:sz w:val="22"/>
          <w:szCs w:val="22"/>
        </w:rPr>
        <w:t>2</w:t>
      </w:r>
      <w:r w:rsidR="0025577D">
        <w:rPr>
          <w:rFonts w:ascii="Calibri" w:hAnsi="Calibri"/>
          <w:sz w:val="22"/>
          <w:szCs w:val="22"/>
        </w:rPr>
        <w:t>4</w:t>
      </w:r>
      <w:r w:rsidR="001A3F3F">
        <w:rPr>
          <w:rFonts w:ascii="Calibri" w:hAnsi="Calibri"/>
          <w:sz w:val="22"/>
          <w:szCs w:val="22"/>
        </w:rPr>
        <w:t xml:space="preserve"> should show actual revenues and expenses</w:t>
      </w:r>
      <w:r w:rsidR="003D1003">
        <w:rPr>
          <w:rFonts w:ascii="Calibri" w:hAnsi="Calibri"/>
          <w:sz w:val="22"/>
          <w:szCs w:val="22"/>
        </w:rPr>
        <w:t xml:space="preserve"> and should match data from </w:t>
      </w:r>
      <w:r w:rsidR="00A2149C">
        <w:rPr>
          <w:rFonts w:ascii="Calibri" w:hAnsi="Calibri"/>
          <w:sz w:val="22"/>
          <w:szCs w:val="22"/>
        </w:rPr>
        <w:t xml:space="preserve">NU Financials, which can also be accessed using </w:t>
      </w:r>
      <w:r w:rsidR="0025577D">
        <w:rPr>
          <w:rFonts w:ascii="Calibri" w:hAnsi="Calibri"/>
          <w:sz w:val="22"/>
          <w:szCs w:val="22"/>
        </w:rPr>
        <w:t xml:space="preserve">the </w:t>
      </w:r>
      <w:hyperlink r:id="rId7" w:history="1">
        <w:r w:rsidR="0025577D" w:rsidRPr="0025577D">
          <w:rPr>
            <w:rStyle w:val="Hyperlink"/>
            <w:rFonts w:ascii="Calibri" w:hAnsi="Calibri"/>
            <w:sz w:val="22"/>
            <w:szCs w:val="22"/>
          </w:rPr>
          <w:t>Cores Financial Dashboard</w:t>
        </w:r>
      </w:hyperlink>
      <w:r w:rsidR="001A3F3F">
        <w:rPr>
          <w:rFonts w:ascii="Calibri" w:hAnsi="Calibri"/>
          <w:sz w:val="22"/>
          <w:szCs w:val="22"/>
        </w:rPr>
        <w:t>. Data for FY</w:t>
      </w:r>
      <w:r w:rsidR="006228FC">
        <w:rPr>
          <w:rFonts w:ascii="Calibri" w:hAnsi="Calibri"/>
          <w:sz w:val="22"/>
          <w:szCs w:val="22"/>
        </w:rPr>
        <w:t>2</w:t>
      </w:r>
      <w:r w:rsidR="0025577D">
        <w:rPr>
          <w:rFonts w:ascii="Calibri" w:hAnsi="Calibri"/>
          <w:sz w:val="22"/>
          <w:szCs w:val="22"/>
        </w:rPr>
        <w:t>5</w:t>
      </w:r>
      <w:r w:rsidR="001A3F3F">
        <w:rPr>
          <w:rFonts w:ascii="Calibri" w:hAnsi="Calibri"/>
          <w:sz w:val="22"/>
          <w:szCs w:val="22"/>
        </w:rPr>
        <w:t xml:space="preserve"> should reflect projections for the remainder of the current fiscal year. Data for </w:t>
      </w:r>
      <w:r w:rsidR="00124445" w:rsidRPr="003F789E">
        <w:rPr>
          <w:rFonts w:ascii="Calibri" w:hAnsi="Calibri"/>
          <w:sz w:val="22"/>
          <w:szCs w:val="22"/>
        </w:rPr>
        <w:t>FY</w:t>
      </w:r>
      <w:r w:rsidR="003D1003">
        <w:rPr>
          <w:rFonts w:ascii="Calibri" w:hAnsi="Calibri"/>
          <w:sz w:val="22"/>
          <w:szCs w:val="22"/>
        </w:rPr>
        <w:t>2</w:t>
      </w:r>
      <w:r w:rsidR="0025577D">
        <w:rPr>
          <w:rFonts w:ascii="Calibri" w:hAnsi="Calibri"/>
          <w:sz w:val="22"/>
          <w:szCs w:val="22"/>
        </w:rPr>
        <w:t>6</w:t>
      </w:r>
      <w:r w:rsidR="001A3F3F">
        <w:rPr>
          <w:rFonts w:ascii="Calibri" w:hAnsi="Calibri"/>
          <w:sz w:val="22"/>
          <w:szCs w:val="22"/>
        </w:rPr>
        <w:t xml:space="preserve"> are budget estimates</w:t>
      </w:r>
      <w:r w:rsidR="003F789E" w:rsidRPr="003F789E">
        <w:rPr>
          <w:rFonts w:ascii="Calibri" w:hAnsi="Calibri"/>
          <w:sz w:val="22"/>
          <w:szCs w:val="22"/>
        </w:rPr>
        <w:t>.</w:t>
      </w:r>
    </w:p>
    <w:p w14:paraId="42A4C795" w14:textId="563F6854" w:rsidR="00561A6C" w:rsidRPr="003D1003" w:rsidRDefault="00124445" w:rsidP="00030728">
      <w:pPr>
        <w:numPr>
          <w:ilvl w:val="0"/>
          <w:numId w:val="2"/>
        </w:numPr>
        <w:tabs>
          <w:tab w:val="clear" w:pos="720"/>
        </w:tabs>
        <w:spacing w:line="276" w:lineRule="auto"/>
        <w:ind w:left="360"/>
        <w:rPr>
          <w:rFonts w:ascii="Calibri" w:hAnsi="Calibri"/>
          <w:sz w:val="22"/>
          <w:szCs w:val="22"/>
        </w:rPr>
      </w:pPr>
      <w:r w:rsidRPr="003F789E">
        <w:rPr>
          <w:rFonts w:ascii="Calibri" w:hAnsi="Calibri"/>
          <w:sz w:val="22"/>
          <w:szCs w:val="22"/>
        </w:rPr>
        <w:t xml:space="preserve">When </w:t>
      </w:r>
      <w:r w:rsidR="008B52F3">
        <w:rPr>
          <w:rFonts w:ascii="Calibri" w:hAnsi="Calibri"/>
          <w:sz w:val="22"/>
          <w:szCs w:val="22"/>
        </w:rPr>
        <w:t>inserting</w:t>
      </w:r>
      <w:r w:rsidRPr="003F789E">
        <w:rPr>
          <w:rFonts w:ascii="Calibri" w:hAnsi="Calibri"/>
          <w:sz w:val="22"/>
          <w:szCs w:val="22"/>
        </w:rPr>
        <w:t xml:space="preserve"> new rows or columns </w:t>
      </w:r>
      <w:r w:rsidRPr="000449E9">
        <w:rPr>
          <w:rFonts w:ascii="Calibri" w:hAnsi="Calibri"/>
          <w:sz w:val="22"/>
          <w:szCs w:val="22"/>
        </w:rPr>
        <w:t xml:space="preserve">please </w:t>
      </w:r>
      <w:r w:rsidR="008B52F3">
        <w:rPr>
          <w:rFonts w:ascii="Calibri" w:hAnsi="Calibri"/>
          <w:sz w:val="22"/>
          <w:szCs w:val="22"/>
        </w:rPr>
        <w:t xml:space="preserve">ensure that they do not disrupt the </w:t>
      </w:r>
      <w:r w:rsidRPr="000449E9">
        <w:rPr>
          <w:rFonts w:ascii="Calibri" w:hAnsi="Calibri"/>
          <w:sz w:val="22"/>
          <w:szCs w:val="22"/>
        </w:rPr>
        <w:t>formulas</w:t>
      </w:r>
      <w:r w:rsidR="00F91095">
        <w:rPr>
          <w:rFonts w:ascii="Calibri" w:hAnsi="Calibri"/>
          <w:sz w:val="22"/>
          <w:szCs w:val="22"/>
        </w:rPr>
        <w:t xml:space="preserve"> embedded in the total/subtotal columns and rows</w:t>
      </w:r>
      <w:r w:rsidR="00303C03" w:rsidRPr="003F789E">
        <w:rPr>
          <w:rFonts w:ascii="Calibri" w:hAnsi="Calibri"/>
          <w:sz w:val="22"/>
          <w:szCs w:val="22"/>
        </w:rPr>
        <w:t>.</w:t>
      </w:r>
      <w:r w:rsidR="00AC030F">
        <w:rPr>
          <w:rFonts w:ascii="Calibri" w:hAnsi="Calibri"/>
          <w:sz w:val="22"/>
          <w:szCs w:val="22"/>
        </w:rPr>
        <w:t xml:space="preserve"> Rows and columns inserted between existing rows/columns are generally safe.</w:t>
      </w:r>
      <w:r w:rsidR="002740ED" w:rsidRPr="003D1003">
        <w:rPr>
          <w:rFonts w:ascii="Calibri" w:hAnsi="Calibri"/>
          <w:sz w:val="22"/>
          <w:szCs w:val="22"/>
        </w:rPr>
        <w:br/>
      </w:r>
    </w:p>
    <w:p w14:paraId="46896ACE" w14:textId="77777777" w:rsidR="00EA1E38" w:rsidRPr="00314EF9" w:rsidRDefault="004B7976" w:rsidP="00030728">
      <w:pPr>
        <w:spacing w:line="276" w:lineRule="auto"/>
        <w:rPr>
          <w:rFonts w:ascii="Calibri" w:hAnsi="Calibri"/>
          <w:b/>
          <w:sz w:val="22"/>
          <w:szCs w:val="22"/>
          <w:u w:val="single"/>
        </w:rPr>
      </w:pPr>
      <w:r w:rsidRPr="00314EF9">
        <w:rPr>
          <w:rFonts w:ascii="Calibri" w:hAnsi="Calibri"/>
          <w:b/>
          <w:sz w:val="22"/>
          <w:szCs w:val="22"/>
          <w:u w:val="single"/>
        </w:rPr>
        <w:t xml:space="preserve">II. </w:t>
      </w:r>
      <w:r w:rsidR="00E012D4" w:rsidRPr="00314EF9">
        <w:rPr>
          <w:rFonts w:ascii="Calibri" w:hAnsi="Calibri"/>
          <w:b/>
          <w:sz w:val="22"/>
          <w:szCs w:val="22"/>
          <w:u w:val="single"/>
        </w:rPr>
        <w:t>Instructions/Explanation of Line Items</w:t>
      </w:r>
    </w:p>
    <w:p w14:paraId="20D34C36" w14:textId="77777777" w:rsidR="00E012D4" w:rsidRPr="00314EF9" w:rsidRDefault="00E012D4" w:rsidP="00030728">
      <w:pPr>
        <w:spacing w:line="276" w:lineRule="auto"/>
        <w:rPr>
          <w:rFonts w:ascii="Calibri" w:hAnsi="Calibri"/>
          <w:b/>
          <w:sz w:val="22"/>
          <w:szCs w:val="22"/>
        </w:rPr>
      </w:pPr>
    </w:p>
    <w:p w14:paraId="651F7241" w14:textId="3EB1ADFB" w:rsidR="00EA1E38" w:rsidRPr="00D85AE4" w:rsidRDefault="00D85AE4" w:rsidP="00030728">
      <w:pPr>
        <w:spacing w:line="276" w:lineRule="auto"/>
        <w:rPr>
          <w:rFonts w:ascii="Calibri" w:hAnsi="Calibri"/>
          <w:iCs/>
          <w:sz w:val="22"/>
          <w:szCs w:val="22"/>
        </w:rPr>
      </w:pPr>
      <w:r w:rsidRPr="00D85AE4">
        <w:rPr>
          <w:rFonts w:ascii="Calibri" w:hAnsi="Calibri"/>
          <w:b/>
          <w:iCs/>
          <w:sz w:val="22"/>
          <w:szCs w:val="22"/>
        </w:rPr>
        <w:t>1</w:t>
      </w:r>
      <w:r w:rsidR="004B7976" w:rsidRPr="00D85AE4">
        <w:rPr>
          <w:rFonts w:ascii="Calibri" w:hAnsi="Calibri"/>
          <w:b/>
          <w:iCs/>
          <w:sz w:val="22"/>
          <w:szCs w:val="22"/>
        </w:rPr>
        <w:t xml:space="preserve">. </w:t>
      </w:r>
      <w:r w:rsidR="001236C1" w:rsidRPr="00D85AE4">
        <w:rPr>
          <w:rFonts w:ascii="Calibri" w:hAnsi="Calibri"/>
          <w:b/>
          <w:iCs/>
          <w:sz w:val="22"/>
          <w:szCs w:val="22"/>
        </w:rPr>
        <w:t>Prior Year Surplus</w:t>
      </w:r>
      <w:r w:rsidR="00EA1E38" w:rsidRPr="00D85AE4">
        <w:rPr>
          <w:rFonts w:ascii="Calibri" w:hAnsi="Calibri"/>
          <w:b/>
          <w:iCs/>
          <w:sz w:val="22"/>
          <w:szCs w:val="22"/>
        </w:rPr>
        <w:t>/Deficit</w:t>
      </w:r>
      <w:r w:rsidR="00EA1E38" w:rsidRPr="00D85AE4">
        <w:rPr>
          <w:rFonts w:ascii="Calibri" w:hAnsi="Calibri"/>
          <w:iCs/>
          <w:sz w:val="22"/>
          <w:szCs w:val="22"/>
        </w:rPr>
        <w:t xml:space="preserve"> – A</w:t>
      </w:r>
      <w:r w:rsidR="001236C1" w:rsidRPr="00D85AE4">
        <w:rPr>
          <w:rFonts w:ascii="Calibri" w:hAnsi="Calibri"/>
          <w:iCs/>
          <w:sz w:val="22"/>
          <w:szCs w:val="22"/>
        </w:rPr>
        <w:t>ny</w:t>
      </w:r>
      <w:r w:rsidR="00EA1E38" w:rsidRPr="00D85AE4">
        <w:rPr>
          <w:rFonts w:ascii="Calibri" w:hAnsi="Calibri"/>
          <w:iCs/>
          <w:sz w:val="22"/>
          <w:szCs w:val="22"/>
        </w:rPr>
        <w:t xml:space="preserve"> prior year </w:t>
      </w:r>
      <w:r w:rsidR="001236C1" w:rsidRPr="00D85AE4">
        <w:rPr>
          <w:rFonts w:ascii="Calibri" w:hAnsi="Calibri"/>
          <w:iCs/>
          <w:sz w:val="22"/>
          <w:szCs w:val="22"/>
        </w:rPr>
        <w:t>surplus</w:t>
      </w:r>
      <w:r w:rsidR="00EA1E38" w:rsidRPr="00D85AE4">
        <w:rPr>
          <w:rFonts w:ascii="Calibri" w:hAnsi="Calibri"/>
          <w:iCs/>
          <w:sz w:val="22"/>
          <w:szCs w:val="22"/>
        </w:rPr>
        <w:t xml:space="preserve"> or deficit that relates to the Core.</w:t>
      </w:r>
    </w:p>
    <w:p w14:paraId="026F2220" w14:textId="77777777" w:rsidR="00EA1E38" w:rsidRPr="00D85AE4" w:rsidRDefault="00EA1E38" w:rsidP="00030728">
      <w:pPr>
        <w:spacing w:line="276" w:lineRule="auto"/>
        <w:rPr>
          <w:rFonts w:ascii="Calibri" w:hAnsi="Calibri"/>
          <w:iCs/>
          <w:sz w:val="22"/>
          <w:szCs w:val="22"/>
        </w:rPr>
      </w:pPr>
    </w:p>
    <w:p w14:paraId="7C7CD86C" w14:textId="718C1BC4" w:rsidR="00C75725" w:rsidRPr="00D85AE4" w:rsidRDefault="00D85AE4" w:rsidP="00030728">
      <w:pPr>
        <w:spacing w:line="276" w:lineRule="auto"/>
        <w:rPr>
          <w:rFonts w:ascii="Calibri" w:hAnsi="Calibri"/>
          <w:b/>
          <w:iCs/>
          <w:sz w:val="22"/>
          <w:szCs w:val="22"/>
        </w:rPr>
      </w:pPr>
      <w:r w:rsidRPr="00D85AE4">
        <w:rPr>
          <w:rFonts w:ascii="Calibri" w:hAnsi="Calibri"/>
          <w:b/>
          <w:iCs/>
          <w:sz w:val="22"/>
          <w:szCs w:val="22"/>
        </w:rPr>
        <w:t>2</w:t>
      </w:r>
      <w:r w:rsidR="004B7976" w:rsidRPr="00D85AE4">
        <w:rPr>
          <w:rFonts w:ascii="Calibri" w:hAnsi="Calibri"/>
          <w:b/>
          <w:iCs/>
          <w:sz w:val="22"/>
          <w:szCs w:val="22"/>
        </w:rPr>
        <w:t xml:space="preserve">. </w:t>
      </w:r>
      <w:r w:rsidR="00561A6C" w:rsidRPr="00D85AE4">
        <w:rPr>
          <w:rFonts w:ascii="Calibri" w:hAnsi="Calibri"/>
          <w:b/>
          <w:iCs/>
          <w:sz w:val="22"/>
          <w:szCs w:val="22"/>
        </w:rPr>
        <w:t>Revenues</w:t>
      </w:r>
    </w:p>
    <w:p w14:paraId="5C87AD48" w14:textId="77777777" w:rsidR="00F74FC2" w:rsidRPr="00314EF9" w:rsidRDefault="00F74FC2" w:rsidP="00030728">
      <w:pPr>
        <w:spacing w:line="276" w:lineRule="auto"/>
        <w:rPr>
          <w:rFonts w:ascii="Calibri" w:hAnsi="Calibri"/>
          <w:sz w:val="22"/>
          <w:szCs w:val="22"/>
        </w:rPr>
      </w:pPr>
    </w:p>
    <w:p w14:paraId="5C0F9246" w14:textId="1AEF47CF" w:rsidR="004E4C2B" w:rsidRPr="00314EF9" w:rsidRDefault="004E4C2B" w:rsidP="00030728">
      <w:pPr>
        <w:spacing w:line="276" w:lineRule="auto"/>
        <w:ind w:left="360" w:hanging="180"/>
        <w:rPr>
          <w:rFonts w:ascii="Calibri" w:hAnsi="Calibri"/>
          <w:sz w:val="22"/>
          <w:szCs w:val="22"/>
        </w:rPr>
      </w:pPr>
      <w:r w:rsidRPr="008F1DAB">
        <w:rPr>
          <w:rFonts w:ascii="Calibri" w:hAnsi="Calibri"/>
          <w:i/>
          <w:sz w:val="22"/>
          <w:szCs w:val="22"/>
        </w:rPr>
        <w:t>Recharge Income</w:t>
      </w:r>
      <w:r w:rsidRPr="00314EF9">
        <w:rPr>
          <w:rFonts w:ascii="Calibri" w:hAnsi="Calibri"/>
          <w:sz w:val="22"/>
          <w:szCs w:val="22"/>
        </w:rPr>
        <w:t xml:space="preserve"> –</w:t>
      </w:r>
      <w:r w:rsidR="00D13307">
        <w:rPr>
          <w:rFonts w:ascii="Calibri" w:hAnsi="Calibri"/>
          <w:sz w:val="22"/>
          <w:szCs w:val="22"/>
        </w:rPr>
        <w:t xml:space="preserve"> C</w:t>
      </w:r>
      <w:r w:rsidR="008F1DAB">
        <w:rPr>
          <w:rFonts w:ascii="Calibri" w:hAnsi="Calibri"/>
          <w:sz w:val="22"/>
          <w:szCs w:val="22"/>
        </w:rPr>
        <w:t xml:space="preserve">ollected as </w:t>
      </w:r>
      <w:r w:rsidR="00813653">
        <w:rPr>
          <w:rFonts w:ascii="Calibri" w:hAnsi="Calibri"/>
          <w:sz w:val="22"/>
          <w:szCs w:val="22"/>
        </w:rPr>
        <w:t xml:space="preserve">user </w:t>
      </w:r>
      <w:r w:rsidR="008F1DAB">
        <w:rPr>
          <w:rFonts w:ascii="Calibri" w:hAnsi="Calibri"/>
          <w:sz w:val="22"/>
          <w:szCs w:val="22"/>
        </w:rPr>
        <w:t>fees (items, services, instrument use)</w:t>
      </w:r>
      <w:r w:rsidR="004A1C9D">
        <w:rPr>
          <w:rFonts w:ascii="Calibri" w:hAnsi="Calibri"/>
          <w:sz w:val="22"/>
          <w:szCs w:val="22"/>
        </w:rPr>
        <w:t>.</w:t>
      </w:r>
    </w:p>
    <w:p w14:paraId="5C6B6F94" w14:textId="77777777" w:rsidR="004E4C2B" w:rsidRPr="00314EF9" w:rsidRDefault="004E4C2B" w:rsidP="00030728">
      <w:pPr>
        <w:spacing w:line="276" w:lineRule="auto"/>
        <w:ind w:left="360" w:hanging="180"/>
        <w:rPr>
          <w:rFonts w:ascii="Calibri" w:hAnsi="Calibri"/>
          <w:i/>
          <w:sz w:val="22"/>
          <w:szCs w:val="22"/>
        </w:rPr>
      </w:pPr>
    </w:p>
    <w:p w14:paraId="20A46D0A" w14:textId="7CB7E7A6" w:rsidR="008F1DAB" w:rsidRDefault="008F1DAB" w:rsidP="00030728">
      <w:pPr>
        <w:spacing w:line="276" w:lineRule="auto"/>
        <w:ind w:left="360" w:hanging="180"/>
        <w:rPr>
          <w:rFonts w:ascii="Calibri" w:hAnsi="Calibri"/>
          <w:sz w:val="22"/>
          <w:szCs w:val="22"/>
        </w:rPr>
      </w:pPr>
      <w:r w:rsidRPr="00D13307">
        <w:rPr>
          <w:rFonts w:ascii="Calibri" w:hAnsi="Calibri"/>
          <w:i/>
          <w:sz w:val="22"/>
          <w:szCs w:val="22"/>
        </w:rPr>
        <w:t>Operating Support</w:t>
      </w:r>
      <w:r>
        <w:rPr>
          <w:rFonts w:ascii="Calibri" w:hAnsi="Calibri"/>
          <w:sz w:val="22"/>
          <w:szCs w:val="22"/>
        </w:rPr>
        <w:t xml:space="preserve"> – Funds provided by any organization</w:t>
      </w:r>
      <w:r w:rsidR="00FA1862">
        <w:rPr>
          <w:rFonts w:ascii="Calibri" w:hAnsi="Calibri"/>
          <w:sz w:val="22"/>
          <w:szCs w:val="22"/>
        </w:rPr>
        <w:t xml:space="preserve"> </w:t>
      </w:r>
      <w:r>
        <w:rPr>
          <w:rFonts w:ascii="Calibri" w:hAnsi="Calibri"/>
          <w:sz w:val="22"/>
          <w:szCs w:val="22"/>
        </w:rPr>
        <w:t xml:space="preserve">to offset expenses. </w:t>
      </w:r>
      <w:r w:rsidR="00FA1862">
        <w:rPr>
          <w:rFonts w:ascii="Calibri" w:hAnsi="Calibri"/>
          <w:sz w:val="22"/>
          <w:szCs w:val="22"/>
        </w:rPr>
        <w:t xml:space="preserve">General </w:t>
      </w:r>
      <w:r w:rsidR="00D13307">
        <w:rPr>
          <w:rFonts w:ascii="Calibri" w:hAnsi="Calibri"/>
          <w:sz w:val="22"/>
          <w:szCs w:val="22"/>
        </w:rPr>
        <w:t>o</w:t>
      </w:r>
      <w:r w:rsidR="00FA1862">
        <w:rPr>
          <w:rFonts w:ascii="Calibri" w:hAnsi="Calibri"/>
          <w:sz w:val="22"/>
          <w:szCs w:val="22"/>
        </w:rPr>
        <w:t xml:space="preserve">perating </w:t>
      </w:r>
      <w:r w:rsidR="00D13307">
        <w:rPr>
          <w:rFonts w:ascii="Calibri" w:hAnsi="Calibri"/>
          <w:sz w:val="22"/>
          <w:szCs w:val="22"/>
        </w:rPr>
        <w:t>s</w:t>
      </w:r>
      <w:r>
        <w:rPr>
          <w:rFonts w:ascii="Calibri" w:hAnsi="Calibri"/>
          <w:sz w:val="22"/>
          <w:szCs w:val="22"/>
        </w:rPr>
        <w:t xml:space="preserve">upport </w:t>
      </w:r>
      <w:r w:rsidR="0046776A">
        <w:rPr>
          <w:rFonts w:ascii="Calibri" w:hAnsi="Calibri"/>
          <w:sz w:val="22"/>
          <w:szCs w:val="22"/>
        </w:rPr>
        <w:t xml:space="preserve">subsidizes the core overall, offsetting </w:t>
      </w:r>
      <w:r w:rsidR="00D13307">
        <w:rPr>
          <w:rFonts w:ascii="Calibri" w:hAnsi="Calibri"/>
          <w:sz w:val="22"/>
          <w:szCs w:val="22"/>
        </w:rPr>
        <w:t>th</w:t>
      </w:r>
      <w:r>
        <w:rPr>
          <w:rFonts w:ascii="Calibri" w:hAnsi="Calibri"/>
          <w:sz w:val="22"/>
          <w:szCs w:val="22"/>
        </w:rPr>
        <w:t xml:space="preserve">e difference between the </w:t>
      </w:r>
      <w:r w:rsidR="0046776A">
        <w:rPr>
          <w:rFonts w:ascii="Calibri" w:hAnsi="Calibri"/>
          <w:sz w:val="22"/>
          <w:szCs w:val="22"/>
        </w:rPr>
        <w:t xml:space="preserve">actual </w:t>
      </w:r>
      <w:r>
        <w:rPr>
          <w:rFonts w:ascii="Calibri" w:hAnsi="Calibri"/>
          <w:sz w:val="22"/>
          <w:szCs w:val="22"/>
        </w:rPr>
        <w:t xml:space="preserve">cost of providing a product and the (often lower) rate that is charged to </w:t>
      </w:r>
      <w:r w:rsidR="00FA1862">
        <w:rPr>
          <w:rFonts w:ascii="Calibri" w:hAnsi="Calibri"/>
          <w:sz w:val="22"/>
          <w:szCs w:val="22"/>
        </w:rPr>
        <w:t xml:space="preserve">all </w:t>
      </w:r>
      <w:r>
        <w:rPr>
          <w:rFonts w:ascii="Calibri" w:hAnsi="Calibri"/>
          <w:sz w:val="22"/>
          <w:szCs w:val="22"/>
        </w:rPr>
        <w:t>investigators</w:t>
      </w:r>
      <w:r w:rsidR="00FA1862">
        <w:rPr>
          <w:rFonts w:ascii="Calibri" w:hAnsi="Calibri"/>
          <w:sz w:val="22"/>
          <w:szCs w:val="22"/>
        </w:rPr>
        <w:t xml:space="preserve">. Organizations may also </w:t>
      </w:r>
      <w:r w:rsidR="00FA1862">
        <w:rPr>
          <w:rFonts w:ascii="Calibri" w:hAnsi="Calibri"/>
          <w:sz w:val="22"/>
          <w:szCs w:val="22"/>
        </w:rPr>
        <w:lastRenderedPageBreak/>
        <w:t xml:space="preserve">provide support to subsidize a specific group of users (e.g. </w:t>
      </w:r>
      <w:r>
        <w:rPr>
          <w:rFonts w:ascii="Calibri" w:hAnsi="Calibri"/>
          <w:sz w:val="22"/>
          <w:szCs w:val="22"/>
        </w:rPr>
        <w:t>center grant</w:t>
      </w:r>
      <w:r w:rsidR="004A1C9D">
        <w:rPr>
          <w:rFonts w:ascii="Calibri" w:hAnsi="Calibri"/>
          <w:sz w:val="22"/>
          <w:szCs w:val="22"/>
        </w:rPr>
        <w:t xml:space="preserve"> funding to support the</w:t>
      </w:r>
      <w:r w:rsidR="00030728">
        <w:rPr>
          <w:rFonts w:ascii="Calibri" w:hAnsi="Calibri"/>
          <w:sz w:val="22"/>
          <w:szCs w:val="22"/>
        </w:rPr>
        <w:t>ir</w:t>
      </w:r>
      <w:r w:rsidR="004A1C9D">
        <w:rPr>
          <w:rFonts w:ascii="Calibri" w:hAnsi="Calibri"/>
          <w:sz w:val="22"/>
          <w:szCs w:val="22"/>
        </w:rPr>
        <w:t xml:space="preserve"> members</w:t>
      </w:r>
      <w:r w:rsidR="00FA1862">
        <w:rPr>
          <w:rFonts w:ascii="Calibri" w:hAnsi="Calibri"/>
          <w:sz w:val="22"/>
          <w:szCs w:val="22"/>
        </w:rPr>
        <w:t>)</w:t>
      </w:r>
      <w:r>
        <w:rPr>
          <w:rFonts w:ascii="Calibri" w:hAnsi="Calibri"/>
          <w:sz w:val="22"/>
          <w:szCs w:val="22"/>
        </w:rPr>
        <w:t>.</w:t>
      </w:r>
    </w:p>
    <w:p w14:paraId="5EF7DE2A" w14:textId="77777777" w:rsidR="008F1DAB" w:rsidRDefault="008F1DAB" w:rsidP="00030728">
      <w:pPr>
        <w:spacing w:line="276" w:lineRule="auto"/>
        <w:ind w:left="360" w:hanging="180"/>
        <w:rPr>
          <w:rFonts w:ascii="Calibri" w:hAnsi="Calibri"/>
          <w:sz w:val="22"/>
          <w:szCs w:val="22"/>
        </w:rPr>
      </w:pPr>
    </w:p>
    <w:p w14:paraId="6612E0AD" w14:textId="3DA8ADE2" w:rsidR="00623BB4" w:rsidRDefault="008F1DAB" w:rsidP="00030728">
      <w:pPr>
        <w:spacing w:line="276" w:lineRule="auto"/>
        <w:ind w:left="360" w:hanging="180"/>
        <w:rPr>
          <w:rFonts w:ascii="Calibri" w:hAnsi="Calibri"/>
          <w:sz w:val="22"/>
          <w:szCs w:val="22"/>
        </w:rPr>
      </w:pPr>
      <w:r w:rsidRPr="008F1DAB">
        <w:rPr>
          <w:rFonts w:ascii="Calibri" w:hAnsi="Calibri"/>
          <w:i/>
          <w:sz w:val="22"/>
          <w:szCs w:val="22"/>
        </w:rPr>
        <w:t>Capital Equipment Funding</w:t>
      </w:r>
      <w:r>
        <w:rPr>
          <w:rFonts w:ascii="Calibri" w:hAnsi="Calibri"/>
          <w:sz w:val="22"/>
          <w:szCs w:val="22"/>
        </w:rPr>
        <w:t xml:space="preserve"> – Funds provided by any organization to purchase </w:t>
      </w:r>
      <w:r w:rsidR="00623BB4">
        <w:rPr>
          <w:rFonts w:ascii="Calibri" w:hAnsi="Calibri"/>
          <w:sz w:val="22"/>
          <w:szCs w:val="22"/>
        </w:rPr>
        <w:t>C</w:t>
      </w:r>
      <w:r w:rsidR="00623BB4" w:rsidRPr="00314EF9">
        <w:rPr>
          <w:rFonts w:ascii="Calibri" w:hAnsi="Calibri"/>
          <w:sz w:val="22"/>
          <w:szCs w:val="22"/>
        </w:rPr>
        <w:t xml:space="preserve">apital </w:t>
      </w:r>
      <w:r w:rsidR="00623BB4">
        <w:rPr>
          <w:rFonts w:ascii="Calibri" w:hAnsi="Calibri"/>
          <w:sz w:val="22"/>
          <w:szCs w:val="22"/>
        </w:rPr>
        <w:t>E</w:t>
      </w:r>
      <w:r w:rsidR="00623BB4" w:rsidRPr="00314EF9">
        <w:rPr>
          <w:rFonts w:ascii="Calibri" w:hAnsi="Calibri"/>
          <w:sz w:val="22"/>
          <w:szCs w:val="22"/>
        </w:rPr>
        <w:t>quipment</w:t>
      </w:r>
      <w:r w:rsidR="00623BB4">
        <w:rPr>
          <w:rFonts w:ascii="Calibri" w:hAnsi="Calibri"/>
          <w:sz w:val="22"/>
          <w:szCs w:val="22"/>
        </w:rPr>
        <w:t xml:space="preserve">, which is defined as </w:t>
      </w:r>
      <w:r w:rsidR="00D13307" w:rsidRPr="00D13307">
        <w:rPr>
          <w:rFonts w:ascii="Calibri" w:hAnsi="Calibri"/>
          <w:i/>
          <w:sz w:val="22"/>
          <w:szCs w:val="22"/>
        </w:rPr>
        <w:t>“</w:t>
      </w:r>
      <w:r w:rsidR="00623BB4" w:rsidRPr="00D13307">
        <w:rPr>
          <w:rFonts w:ascii="Calibri" w:hAnsi="Calibri"/>
          <w:i/>
          <w:sz w:val="22"/>
          <w:szCs w:val="22"/>
        </w:rPr>
        <w:t>tangible property having an acquisition value of $5,000 or more and a useful life expectancy of one year or more.</w:t>
      </w:r>
      <w:r w:rsidR="00D13307" w:rsidRPr="00D13307">
        <w:rPr>
          <w:rFonts w:ascii="Calibri" w:hAnsi="Calibri"/>
          <w:i/>
          <w:sz w:val="22"/>
          <w:szCs w:val="22"/>
        </w:rPr>
        <w:t>”</w:t>
      </w:r>
      <w:r w:rsidR="00623BB4" w:rsidRPr="00314EF9">
        <w:rPr>
          <w:rFonts w:ascii="Calibri" w:hAnsi="Calibri"/>
          <w:sz w:val="22"/>
          <w:szCs w:val="22"/>
        </w:rPr>
        <w:t xml:space="preserve"> Fabricated equipment that has an aggregate cost of $5,000 or more and a useful life expectancy of one year or more is considered capital equipment. Repairs, maintenance parts or components, warranty costs, maintenance contracts or annual software licensing fees are not considered capital equipment.</w:t>
      </w:r>
    </w:p>
    <w:p w14:paraId="7D422A81" w14:textId="77777777" w:rsidR="00623BB4" w:rsidRDefault="00623BB4" w:rsidP="00030728">
      <w:pPr>
        <w:spacing w:line="276" w:lineRule="auto"/>
        <w:ind w:left="360"/>
        <w:rPr>
          <w:rFonts w:ascii="Calibri" w:hAnsi="Calibri"/>
          <w:sz w:val="22"/>
          <w:szCs w:val="22"/>
        </w:rPr>
      </w:pPr>
    </w:p>
    <w:p w14:paraId="6E659903" w14:textId="08D80270" w:rsidR="007942D7" w:rsidRDefault="008F1DAB" w:rsidP="00030728">
      <w:pPr>
        <w:spacing w:line="276" w:lineRule="auto"/>
        <w:ind w:left="360"/>
        <w:rPr>
          <w:rFonts w:ascii="Calibri" w:hAnsi="Calibri"/>
          <w:sz w:val="22"/>
          <w:szCs w:val="22"/>
        </w:rPr>
      </w:pPr>
      <w:r>
        <w:rPr>
          <w:rFonts w:ascii="Calibri" w:hAnsi="Calibri"/>
          <w:sz w:val="22"/>
          <w:szCs w:val="22"/>
        </w:rPr>
        <w:t>Examples</w:t>
      </w:r>
      <w:r w:rsidR="00623BB4">
        <w:rPr>
          <w:rFonts w:ascii="Calibri" w:hAnsi="Calibri"/>
          <w:sz w:val="22"/>
          <w:szCs w:val="22"/>
        </w:rPr>
        <w:t xml:space="preserve"> of capital equipment funding </w:t>
      </w:r>
      <w:r>
        <w:rPr>
          <w:rFonts w:ascii="Calibri" w:hAnsi="Calibri"/>
          <w:sz w:val="22"/>
          <w:szCs w:val="22"/>
        </w:rPr>
        <w:t xml:space="preserve">include awards from the NU Office for Research </w:t>
      </w:r>
      <w:r w:rsidR="00290E1A">
        <w:rPr>
          <w:rFonts w:ascii="Calibri" w:hAnsi="Calibri"/>
          <w:sz w:val="22"/>
          <w:szCs w:val="22"/>
        </w:rPr>
        <w:t>a</w:t>
      </w:r>
      <w:r>
        <w:rPr>
          <w:rFonts w:ascii="Calibri" w:hAnsi="Calibri"/>
          <w:sz w:val="22"/>
          <w:szCs w:val="22"/>
        </w:rPr>
        <w:t xml:space="preserve">nnual competition and </w:t>
      </w:r>
      <w:r w:rsidR="00D13307">
        <w:rPr>
          <w:rFonts w:ascii="Calibri" w:hAnsi="Calibri"/>
          <w:sz w:val="22"/>
          <w:szCs w:val="22"/>
        </w:rPr>
        <w:t xml:space="preserve">equipment </w:t>
      </w:r>
      <w:r>
        <w:rPr>
          <w:rFonts w:ascii="Calibri" w:hAnsi="Calibri"/>
          <w:sz w:val="22"/>
          <w:szCs w:val="22"/>
        </w:rPr>
        <w:t xml:space="preserve">cost-shares provided by </w:t>
      </w:r>
      <w:r w:rsidR="00F91095">
        <w:rPr>
          <w:rFonts w:ascii="Calibri" w:hAnsi="Calibri"/>
          <w:sz w:val="22"/>
          <w:szCs w:val="22"/>
        </w:rPr>
        <w:t xml:space="preserve">schools, </w:t>
      </w:r>
      <w:r>
        <w:rPr>
          <w:rFonts w:ascii="Calibri" w:hAnsi="Calibri"/>
          <w:sz w:val="22"/>
          <w:szCs w:val="22"/>
        </w:rPr>
        <w:t>departments and centers.</w:t>
      </w:r>
      <w:r w:rsidR="007942D7" w:rsidRPr="00314EF9">
        <w:rPr>
          <w:rFonts w:ascii="Calibri" w:hAnsi="Calibri"/>
          <w:sz w:val="22"/>
          <w:szCs w:val="22"/>
        </w:rPr>
        <w:t xml:space="preserve"> In general, these funds will be offset by an equal expense under “</w:t>
      </w:r>
      <w:r w:rsidR="007942D7" w:rsidRPr="00314EF9">
        <w:rPr>
          <w:rFonts w:ascii="Calibri" w:hAnsi="Calibri"/>
          <w:i/>
          <w:sz w:val="22"/>
          <w:szCs w:val="22"/>
        </w:rPr>
        <w:t>Capital Equipment</w:t>
      </w:r>
      <w:r w:rsidR="007942D7" w:rsidRPr="00314EF9">
        <w:rPr>
          <w:rFonts w:ascii="Calibri" w:hAnsi="Calibri"/>
          <w:sz w:val="22"/>
          <w:szCs w:val="22"/>
        </w:rPr>
        <w:t>.”</w:t>
      </w:r>
    </w:p>
    <w:p w14:paraId="4AABF58F" w14:textId="77777777" w:rsidR="007942D7" w:rsidRPr="00314EF9" w:rsidRDefault="007942D7" w:rsidP="00030728">
      <w:pPr>
        <w:spacing w:line="276" w:lineRule="auto"/>
        <w:ind w:left="360" w:hanging="180"/>
        <w:rPr>
          <w:rFonts w:ascii="Calibri" w:hAnsi="Calibri"/>
          <w:sz w:val="22"/>
          <w:szCs w:val="22"/>
        </w:rPr>
      </w:pPr>
    </w:p>
    <w:p w14:paraId="41F85753" w14:textId="582BA8D7" w:rsidR="00DD6A1A" w:rsidRPr="00314EF9" w:rsidRDefault="00DD6A1A" w:rsidP="00030728">
      <w:pPr>
        <w:spacing w:line="276" w:lineRule="auto"/>
        <w:ind w:left="360" w:hanging="180"/>
        <w:rPr>
          <w:rFonts w:ascii="Calibri" w:hAnsi="Calibri"/>
          <w:sz w:val="22"/>
          <w:szCs w:val="22"/>
        </w:rPr>
      </w:pPr>
      <w:r w:rsidRPr="00314EF9">
        <w:rPr>
          <w:rFonts w:ascii="Calibri" w:hAnsi="Calibri"/>
          <w:i/>
          <w:sz w:val="22"/>
          <w:szCs w:val="22"/>
        </w:rPr>
        <w:t>REVENUE SUBTOTAL</w:t>
      </w:r>
      <w:r w:rsidRPr="00314EF9">
        <w:rPr>
          <w:rFonts w:ascii="Calibri" w:hAnsi="Calibri"/>
          <w:sz w:val="22"/>
          <w:szCs w:val="22"/>
        </w:rPr>
        <w:t xml:space="preserve"> – This line is populated automatically from the information you provide.</w:t>
      </w:r>
    </w:p>
    <w:p w14:paraId="6F3AE5F6" w14:textId="77777777" w:rsidR="00A97613" w:rsidRPr="00314EF9" w:rsidRDefault="00A97613" w:rsidP="00030728">
      <w:pPr>
        <w:spacing w:line="276" w:lineRule="auto"/>
        <w:rPr>
          <w:rFonts w:ascii="Calibri" w:hAnsi="Calibri"/>
          <w:sz w:val="22"/>
          <w:szCs w:val="22"/>
        </w:rPr>
      </w:pPr>
    </w:p>
    <w:p w14:paraId="41951444" w14:textId="443C9D02" w:rsidR="00EA1E38" w:rsidRPr="00D85AE4" w:rsidRDefault="00D85AE4" w:rsidP="00030728">
      <w:pPr>
        <w:spacing w:line="276" w:lineRule="auto"/>
        <w:rPr>
          <w:rFonts w:ascii="Calibri" w:hAnsi="Calibri"/>
          <w:iCs/>
          <w:sz w:val="22"/>
          <w:szCs w:val="22"/>
        </w:rPr>
      </w:pPr>
      <w:r w:rsidRPr="00D85AE4">
        <w:rPr>
          <w:rFonts w:ascii="Calibri" w:hAnsi="Calibri"/>
          <w:b/>
          <w:iCs/>
          <w:sz w:val="22"/>
          <w:szCs w:val="22"/>
        </w:rPr>
        <w:t>3</w:t>
      </w:r>
      <w:r w:rsidR="004B7976" w:rsidRPr="00D85AE4">
        <w:rPr>
          <w:rFonts w:ascii="Calibri" w:hAnsi="Calibri"/>
          <w:b/>
          <w:iCs/>
          <w:sz w:val="22"/>
          <w:szCs w:val="22"/>
        </w:rPr>
        <w:t xml:space="preserve">. </w:t>
      </w:r>
      <w:r w:rsidR="00C75725" w:rsidRPr="00D85AE4">
        <w:rPr>
          <w:rFonts w:ascii="Calibri" w:hAnsi="Calibri"/>
          <w:b/>
          <w:iCs/>
          <w:sz w:val="22"/>
          <w:szCs w:val="22"/>
        </w:rPr>
        <w:t>Expenses</w:t>
      </w:r>
    </w:p>
    <w:p w14:paraId="0F373EF6" w14:textId="77777777" w:rsidR="00F112AE" w:rsidRPr="00314EF9" w:rsidRDefault="00F112AE" w:rsidP="00030728">
      <w:pPr>
        <w:spacing w:line="276" w:lineRule="auto"/>
        <w:rPr>
          <w:rFonts w:ascii="Calibri" w:hAnsi="Calibri"/>
          <w:sz w:val="22"/>
          <w:szCs w:val="22"/>
        </w:rPr>
      </w:pPr>
    </w:p>
    <w:p w14:paraId="55771711" w14:textId="1829D2B2" w:rsidR="00C75725" w:rsidRPr="00314EF9" w:rsidRDefault="00306354" w:rsidP="00030728">
      <w:pPr>
        <w:spacing w:line="276" w:lineRule="auto"/>
        <w:ind w:left="360" w:hanging="180"/>
        <w:rPr>
          <w:rFonts w:ascii="Calibri" w:hAnsi="Calibri"/>
          <w:sz w:val="22"/>
          <w:szCs w:val="22"/>
        </w:rPr>
      </w:pPr>
      <w:r w:rsidRPr="00314EF9">
        <w:rPr>
          <w:rFonts w:ascii="Calibri" w:hAnsi="Calibri"/>
          <w:i/>
          <w:sz w:val="22"/>
          <w:szCs w:val="22"/>
        </w:rPr>
        <w:t>Faculty Salaries</w:t>
      </w:r>
      <w:r w:rsidRPr="00314EF9">
        <w:rPr>
          <w:rFonts w:ascii="Calibri" w:hAnsi="Calibri"/>
          <w:sz w:val="22"/>
          <w:szCs w:val="22"/>
        </w:rPr>
        <w:t xml:space="preserve"> – All faculty salaries </w:t>
      </w:r>
      <w:r w:rsidR="00890F37" w:rsidRPr="00314EF9">
        <w:rPr>
          <w:rFonts w:ascii="Calibri" w:hAnsi="Calibri"/>
          <w:sz w:val="22"/>
          <w:szCs w:val="22"/>
        </w:rPr>
        <w:t xml:space="preserve">and fringe </w:t>
      </w:r>
      <w:r w:rsidR="00033FC4" w:rsidRPr="00314EF9">
        <w:rPr>
          <w:rFonts w:ascii="Calibri" w:hAnsi="Calibri"/>
          <w:sz w:val="22"/>
          <w:szCs w:val="22"/>
        </w:rPr>
        <w:t xml:space="preserve">benefits </w:t>
      </w:r>
      <w:r w:rsidRPr="00314EF9">
        <w:rPr>
          <w:rFonts w:ascii="Calibri" w:hAnsi="Calibri"/>
          <w:sz w:val="22"/>
          <w:szCs w:val="22"/>
        </w:rPr>
        <w:t xml:space="preserve">that </w:t>
      </w:r>
      <w:r w:rsidR="00E460F9" w:rsidRPr="00314EF9">
        <w:rPr>
          <w:rFonts w:ascii="Calibri" w:hAnsi="Calibri"/>
          <w:sz w:val="22"/>
          <w:szCs w:val="22"/>
        </w:rPr>
        <w:t xml:space="preserve">are charged to the </w:t>
      </w:r>
      <w:r w:rsidR="0020387E" w:rsidRPr="00314EF9">
        <w:rPr>
          <w:rFonts w:ascii="Calibri" w:hAnsi="Calibri"/>
          <w:sz w:val="22"/>
          <w:szCs w:val="22"/>
        </w:rPr>
        <w:t>Core</w:t>
      </w:r>
      <w:r w:rsidR="00A627F8">
        <w:rPr>
          <w:rFonts w:ascii="Calibri" w:hAnsi="Calibri"/>
          <w:sz w:val="22"/>
          <w:szCs w:val="22"/>
        </w:rPr>
        <w:t xml:space="preserve">, </w:t>
      </w:r>
      <w:r w:rsidR="00E460F9" w:rsidRPr="00314EF9">
        <w:rPr>
          <w:rFonts w:ascii="Calibri" w:hAnsi="Calibri"/>
          <w:sz w:val="22"/>
          <w:szCs w:val="22"/>
        </w:rPr>
        <w:t>including salary support for the faculty advisor</w:t>
      </w:r>
      <w:r w:rsidR="00A627F8">
        <w:rPr>
          <w:rFonts w:ascii="Calibri" w:hAnsi="Calibri"/>
          <w:sz w:val="22"/>
          <w:szCs w:val="22"/>
        </w:rPr>
        <w:t>.</w:t>
      </w:r>
    </w:p>
    <w:p w14:paraId="54BCCDC0" w14:textId="77777777" w:rsidR="00306354" w:rsidRPr="00314EF9" w:rsidRDefault="00306354" w:rsidP="00030728">
      <w:pPr>
        <w:spacing w:line="276" w:lineRule="auto"/>
        <w:ind w:left="360" w:hanging="180"/>
        <w:rPr>
          <w:rFonts w:ascii="Calibri" w:hAnsi="Calibri"/>
          <w:sz w:val="22"/>
          <w:szCs w:val="22"/>
        </w:rPr>
      </w:pPr>
    </w:p>
    <w:p w14:paraId="6A2E3223" w14:textId="1722B881" w:rsidR="00306354" w:rsidRPr="00314EF9" w:rsidRDefault="00306354" w:rsidP="00030728">
      <w:pPr>
        <w:spacing w:line="276" w:lineRule="auto"/>
        <w:ind w:left="360" w:hanging="180"/>
        <w:rPr>
          <w:rFonts w:ascii="Calibri" w:hAnsi="Calibri"/>
          <w:sz w:val="22"/>
          <w:szCs w:val="22"/>
        </w:rPr>
      </w:pPr>
      <w:r w:rsidRPr="00314EF9">
        <w:rPr>
          <w:rFonts w:ascii="Calibri" w:hAnsi="Calibri"/>
          <w:i/>
          <w:sz w:val="22"/>
          <w:szCs w:val="22"/>
        </w:rPr>
        <w:t>Staff Salaries</w:t>
      </w:r>
      <w:r w:rsidR="004417EC" w:rsidRPr="00314EF9">
        <w:rPr>
          <w:rFonts w:ascii="Calibri" w:hAnsi="Calibri"/>
          <w:sz w:val="22"/>
          <w:szCs w:val="22"/>
        </w:rPr>
        <w:t xml:space="preserve"> – </w:t>
      </w:r>
      <w:r w:rsidRPr="00314EF9">
        <w:rPr>
          <w:rFonts w:ascii="Calibri" w:hAnsi="Calibri"/>
          <w:sz w:val="22"/>
          <w:szCs w:val="22"/>
        </w:rPr>
        <w:t xml:space="preserve">All staff salaries </w:t>
      </w:r>
      <w:r w:rsidR="00890F37" w:rsidRPr="00314EF9">
        <w:rPr>
          <w:rFonts w:ascii="Calibri" w:hAnsi="Calibri"/>
          <w:sz w:val="22"/>
          <w:szCs w:val="22"/>
        </w:rPr>
        <w:t xml:space="preserve">and fringe </w:t>
      </w:r>
      <w:r w:rsidR="00033FC4" w:rsidRPr="00314EF9">
        <w:rPr>
          <w:rFonts w:ascii="Calibri" w:hAnsi="Calibri"/>
          <w:sz w:val="22"/>
          <w:szCs w:val="22"/>
        </w:rPr>
        <w:t xml:space="preserve">benefits </w:t>
      </w:r>
      <w:r w:rsidRPr="00314EF9">
        <w:rPr>
          <w:rFonts w:ascii="Calibri" w:hAnsi="Calibri"/>
          <w:sz w:val="22"/>
          <w:szCs w:val="22"/>
        </w:rPr>
        <w:t xml:space="preserve">that </w:t>
      </w:r>
      <w:r w:rsidR="00E460F9" w:rsidRPr="00314EF9">
        <w:rPr>
          <w:rFonts w:ascii="Calibri" w:hAnsi="Calibri"/>
          <w:sz w:val="22"/>
          <w:szCs w:val="22"/>
        </w:rPr>
        <w:t>are charged to the</w:t>
      </w:r>
      <w:r w:rsidR="0020387E" w:rsidRPr="00314EF9">
        <w:rPr>
          <w:rFonts w:ascii="Calibri" w:hAnsi="Calibri"/>
          <w:sz w:val="22"/>
          <w:szCs w:val="22"/>
        </w:rPr>
        <w:t xml:space="preserve"> Core</w:t>
      </w:r>
      <w:r w:rsidR="006525DB" w:rsidRPr="00314EF9">
        <w:rPr>
          <w:rFonts w:ascii="Calibri" w:hAnsi="Calibri"/>
          <w:sz w:val="22"/>
          <w:szCs w:val="22"/>
        </w:rPr>
        <w:t>.</w:t>
      </w:r>
      <w:r w:rsidR="00A97613" w:rsidRPr="00314EF9">
        <w:rPr>
          <w:rFonts w:ascii="Calibri" w:hAnsi="Calibri"/>
          <w:sz w:val="22"/>
          <w:szCs w:val="22"/>
        </w:rPr>
        <w:t xml:space="preserve"> This includes administrative st</w:t>
      </w:r>
      <w:r w:rsidR="00325E67" w:rsidRPr="00314EF9">
        <w:rPr>
          <w:rFonts w:ascii="Calibri" w:hAnsi="Calibri"/>
          <w:sz w:val="22"/>
          <w:szCs w:val="22"/>
        </w:rPr>
        <w:t>aff and research technicians.</w:t>
      </w:r>
    </w:p>
    <w:p w14:paraId="09465E6E" w14:textId="77777777" w:rsidR="00306354" w:rsidRPr="00314EF9" w:rsidRDefault="00306354" w:rsidP="00030728">
      <w:pPr>
        <w:spacing w:line="276" w:lineRule="auto"/>
        <w:ind w:left="360" w:hanging="180"/>
        <w:rPr>
          <w:rFonts w:ascii="Calibri" w:hAnsi="Calibri"/>
          <w:sz w:val="22"/>
          <w:szCs w:val="22"/>
        </w:rPr>
      </w:pPr>
    </w:p>
    <w:p w14:paraId="6BA16325" w14:textId="72CD1D88" w:rsidR="001E16B0" w:rsidRPr="00314EF9" w:rsidRDefault="003A47BF" w:rsidP="00030728">
      <w:pPr>
        <w:spacing w:line="276" w:lineRule="auto"/>
        <w:ind w:left="360" w:hanging="180"/>
        <w:rPr>
          <w:rFonts w:ascii="Calibri" w:hAnsi="Calibri"/>
          <w:i/>
          <w:sz w:val="22"/>
          <w:szCs w:val="22"/>
        </w:rPr>
      </w:pPr>
      <w:r w:rsidRPr="00314EF9">
        <w:rPr>
          <w:rFonts w:ascii="Calibri" w:hAnsi="Calibri"/>
          <w:i/>
          <w:sz w:val="22"/>
          <w:szCs w:val="22"/>
        </w:rPr>
        <w:t xml:space="preserve">Other Wages - </w:t>
      </w:r>
      <w:r w:rsidRPr="00314EF9">
        <w:rPr>
          <w:rFonts w:ascii="Calibri" w:hAnsi="Calibri"/>
          <w:sz w:val="22"/>
          <w:szCs w:val="22"/>
        </w:rPr>
        <w:t>All other type</w:t>
      </w:r>
      <w:r w:rsidR="003A527B">
        <w:rPr>
          <w:rFonts w:ascii="Calibri" w:hAnsi="Calibri"/>
          <w:sz w:val="22"/>
          <w:szCs w:val="22"/>
        </w:rPr>
        <w:t>s</w:t>
      </w:r>
      <w:r w:rsidRPr="00314EF9">
        <w:rPr>
          <w:rFonts w:ascii="Calibri" w:hAnsi="Calibri"/>
          <w:sz w:val="22"/>
          <w:szCs w:val="22"/>
        </w:rPr>
        <w:t xml:space="preserve"> of wages, such as overtime, temporary staff, w</w:t>
      </w:r>
      <w:r w:rsidR="00E460F9" w:rsidRPr="00314EF9">
        <w:rPr>
          <w:rFonts w:ascii="Calibri" w:hAnsi="Calibri"/>
          <w:sz w:val="22"/>
          <w:szCs w:val="22"/>
        </w:rPr>
        <w:t>ork-study, additional pay, etc</w:t>
      </w:r>
      <w:r w:rsidR="00BE2B5B" w:rsidRPr="00314EF9">
        <w:rPr>
          <w:rFonts w:ascii="Calibri" w:hAnsi="Calibri"/>
          <w:sz w:val="22"/>
          <w:szCs w:val="22"/>
        </w:rPr>
        <w:t>.</w:t>
      </w:r>
    </w:p>
    <w:p w14:paraId="296583B2" w14:textId="77777777" w:rsidR="001E16B0" w:rsidRPr="00314EF9" w:rsidRDefault="001E16B0" w:rsidP="00030728">
      <w:pPr>
        <w:spacing w:line="276" w:lineRule="auto"/>
        <w:ind w:left="360" w:hanging="180"/>
        <w:rPr>
          <w:rFonts w:ascii="Calibri" w:hAnsi="Calibri"/>
          <w:i/>
          <w:sz w:val="22"/>
          <w:szCs w:val="22"/>
        </w:rPr>
      </w:pPr>
    </w:p>
    <w:p w14:paraId="367A03E1" w14:textId="4AAF3EF4" w:rsidR="002740ED" w:rsidRPr="00314EF9" w:rsidRDefault="00BC6436" w:rsidP="00030728">
      <w:pPr>
        <w:pStyle w:val="Default"/>
        <w:spacing w:line="276" w:lineRule="auto"/>
        <w:ind w:left="360" w:hanging="180"/>
        <w:rPr>
          <w:rFonts w:ascii="Calibri" w:hAnsi="Calibri"/>
          <w:color w:val="FF0000"/>
          <w:sz w:val="22"/>
          <w:szCs w:val="22"/>
        </w:rPr>
      </w:pPr>
      <w:r w:rsidRPr="00314EF9">
        <w:rPr>
          <w:rFonts w:ascii="Calibri" w:hAnsi="Calibri"/>
          <w:i/>
          <w:sz w:val="22"/>
          <w:szCs w:val="22"/>
        </w:rPr>
        <w:t xml:space="preserve">Capital Equipment </w:t>
      </w:r>
      <w:r w:rsidR="00623BB4">
        <w:rPr>
          <w:rFonts w:ascii="Calibri" w:hAnsi="Calibri"/>
          <w:i/>
          <w:sz w:val="22"/>
          <w:szCs w:val="22"/>
        </w:rPr>
        <w:t>–</w:t>
      </w:r>
      <w:r w:rsidR="00623BB4">
        <w:rPr>
          <w:rFonts w:ascii="Calibri" w:hAnsi="Calibri"/>
          <w:sz w:val="22"/>
          <w:szCs w:val="22"/>
        </w:rPr>
        <w:t xml:space="preserve"> As defined under Revenue</w:t>
      </w:r>
      <w:r w:rsidR="004417EC">
        <w:rPr>
          <w:rFonts w:ascii="Calibri" w:hAnsi="Calibri"/>
          <w:sz w:val="22"/>
          <w:szCs w:val="22"/>
        </w:rPr>
        <w:t xml:space="preserve"> (above)</w:t>
      </w:r>
      <w:r w:rsidR="00623BB4">
        <w:rPr>
          <w:rFonts w:ascii="Calibri" w:hAnsi="Calibri"/>
          <w:sz w:val="22"/>
          <w:szCs w:val="22"/>
        </w:rPr>
        <w:t>.</w:t>
      </w:r>
    </w:p>
    <w:p w14:paraId="01F39BC5" w14:textId="77777777" w:rsidR="002740ED" w:rsidRPr="00314EF9" w:rsidRDefault="002740ED" w:rsidP="00030728">
      <w:pPr>
        <w:pStyle w:val="Default"/>
        <w:spacing w:line="276" w:lineRule="auto"/>
        <w:ind w:left="360" w:hanging="180"/>
        <w:rPr>
          <w:rFonts w:ascii="Calibri" w:hAnsi="Calibri"/>
          <w:i/>
          <w:color w:val="FF0000"/>
          <w:sz w:val="22"/>
          <w:szCs w:val="22"/>
        </w:rPr>
      </w:pPr>
    </w:p>
    <w:p w14:paraId="79AB7D8D" w14:textId="77777777" w:rsidR="00352EAE" w:rsidRPr="00314EF9" w:rsidRDefault="005351BD" w:rsidP="00030728">
      <w:pPr>
        <w:spacing w:line="276" w:lineRule="auto"/>
        <w:ind w:left="360" w:hanging="180"/>
        <w:rPr>
          <w:rFonts w:ascii="Calibri" w:hAnsi="Calibri"/>
          <w:sz w:val="22"/>
          <w:szCs w:val="22"/>
        </w:rPr>
      </w:pPr>
      <w:r w:rsidRPr="00314EF9">
        <w:rPr>
          <w:rFonts w:ascii="Calibri" w:hAnsi="Calibri"/>
          <w:i/>
          <w:sz w:val="22"/>
          <w:szCs w:val="22"/>
        </w:rPr>
        <w:t>Equipment Lease</w:t>
      </w:r>
      <w:r w:rsidRPr="00314EF9">
        <w:rPr>
          <w:rFonts w:ascii="Calibri" w:hAnsi="Calibri"/>
          <w:sz w:val="22"/>
          <w:szCs w:val="22"/>
        </w:rPr>
        <w:t xml:space="preserve"> – All expenses related to the leasing of equipment </w:t>
      </w:r>
      <w:r w:rsidR="001C301C" w:rsidRPr="00314EF9">
        <w:rPr>
          <w:rFonts w:ascii="Calibri" w:hAnsi="Calibri"/>
          <w:sz w:val="22"/>
          <w:szCs w:val="22"/>
        </w:rPr>
        <w:t>for the C</w:t>
      </w:r>
      <w:r w:rsidR="00BA4FCC" w:rsidRPr="00314EF9">
        <w:rPr>
          <w:rFonts w:ascii="Calibri" w:hAnsi="Calibri"/>
          <w:sz w:val="22"/>
          <w:szCs w:val="22"/>
        </w:rPr>
        <w:t>ore</w:t>
      </w:r>
      <w:r w:rsidR="006525DB" w:rsidRPr="00314EF9">
        <w:rPr>
          <w:rFonts w:ascii="Calibri" w:hAnsi="Calibri"/>
          <w:sz w:val="22"/>
          <w:szCs w:val="22"/>
        </w:rPr>
        <w:t>.</w:t>
      </w:r>
    </w:p>
    <w:p w14:paraId="42FC71C7" w14:textId="77777777" w:rsidR="005351BD" w:rsidRPr="00314EF9" w:rsidRDefault="005351BD" w:rsidP="00030728">
      <w:pPr>
        <w:spacing w:line="276" w:lineRule="auto"/>
        <w:ind w:left="360" w:hanging="180"/>
        <w:rPr>
          <w:rFonts w:ascii="Calibri" w:hAnsi="Calibri"/>
          <w:sz w:val="22"/>
          <w:szCs w:val="22"/>
        </w:rPr>
      </w:pPr>
    </w:p>
    <w:p w14:paraId="69A5AAE5" w14:textId="40106583" w:rsidR="005351BD" w:rsidRPr="00314EF9" w:rsidRDefault="005351BD" w:rsidP="00030728">
      <w:pPr>
        <w:spacing w:line="276" w:lineRule="auto"/>
        <w:ind w:left="360" w:hanging="180"/>
        <w:rPr>
          <w:rFonts w:ascii="Calibri" w:hAnsi="Calibri"/>
          <w:sz w:val="22"/>
          <w:szCs w:val="22"/>
        </w:rPr>
      </w:pPr>
      <w:r w:rsidRPr="00314EF9">
        <w:rPr>
          <w:rFonts w:ascii="Calibri" w:hAnsi="Calibri"/>
          <w:i/>
          <w:sz w:val="22"/>
          <w:szCs w:val="22"/>
        </w:rPr>
        <w:t>Service Contracts</w:t>
      </w:r>
      <w:r w:rsidRPr="00314EF9">
        <w:rPr>
          <w:rFonts w:ascii="Calibri" w:hAnsi="Calibri"/>
          <w:sz w:val="22"/>
          <w:szCs w:val="22"/>
        </w:rPr>
        <w:t xml:space="preserve"> – All service</w:t>
      </w:r>
      <w:r w:rsidR="004A40A2">
        <w:rPr>
          <w:rFonts w:ascii="Calibri" w:hAnsi="Calibri"/>
          <w:sz w:val="22"/>
          <w:szCs w:val="22"/>
        </w:rPr>
        <w:t xml:space="preserve">-related costs </w:t>
      </w:r>
      <w:r w:rsidR="00401392" w:rsidRPr="00314EF9">
        <w:rPr>
          <w:rFonts w:ascii="Calibri" w:hAnsi="Calibri"/>
          <w:sz w:val="22"/>
          <w:szCs w:val="22"/>
        </w:rPr>
        <w:t xml:space="preserve">charged to </w:t>
      </w:r>
      <w:r w:rsidR="00BA4FCC" w:rsidRPr="00314EF9">
        <w:rPr>
          <w:rFonts w:ascii="Calibri" w:hAnsi="Calibri"/>
          <w:sz w:val="22"/>
          <w:szCs w:val="22"/>
        </w:rPr>
        <w:t>the Core</w:t>
      </w:r>
      <w:r w:rsidR="006525DB" w:rsidRPr="00314EF9">
        <w:rPr>
          <w:rFonts w:ascii="Calibri" w:hAnsi="Calibri"/>
          <w:sz w:val="22"/>
          <w:szCs w:val="22"/>
        </w:rPr>
        <w:t>.</w:t>
      </w:r>
      <w:r w:rsidR="00325E67" w:rsidRPr="00314EF9">
        <w:rPr>
          <w:rFonts w:ascii="Calibri" w:hAnsi="Calibri"/>
          <w:sz w:val="22"/>
          <w:szCs w:val="22"/>
        </w:rPr>
        <w:t xml:space="preserve"> This includes </w:t>
      </w:r>
      <w:r w:rsidR="004A40A2">
        <w:rPr>
          <w:rFonts w:ascii="Calibri" w:hAnsi="Calibri"/>
          <w:sz w:val="22"/>
          <w:szCs w:val="22"/>
        </w:rPr>
        <w:t>service</w:t>
      </w:r>
      <w:r w:rsidR="004A40A2" w:rsidRPr="00314EF9">
        <w:rPr>
          <w:rFonts w:ascii="Calibri" w:hAnsi="Calibri"/>
          <w:sz w:val="22"/>
          <w:szCs w:val="22"/>
        </w:rPr>
        <w:t xml:space="preserve"> contracts</w:t>
      </w:r>
      <w:r w:rsidR="004A40A2">
        <w:rPr>
          <w:rFonts w:ascii="Calibri" w:hAnsi="Calibri"/>
          <w:sz w:val="22"/>
          <w:szCs w:val="22"/>
        </w:rPr>
        <w:t>,</w:t>
      </w:r>
      <w:r w:rsidR="004A40A2" w:rsidRPr="00314EF9">
        <w:rPr>
          <w:rFonts w:ascii="Calibri" w:hAnsi="Calibri"/>
          <w:sz w:val="22"/>
          <w:szCs w:val="22"/>
        </w:rPr>
        <w:t xml:space="preserve"> </w:t>
      </w:r>
      <w:r w:rsidR="00325E67" w:rsidRPr="00314EF9">
        <w:rPr>
          <w:rFonts w:ascii="Calibri" w:hAnsi="Calibri"/>
          <w:sz w:val="22"/>
          <w:szCs w:val="22"/>
        </w:rPr>
        <w:t xml:space="preserve">repairs, maintenance parts or components </w:t>
      </w:r>
      <w:r w:rsidR="00780AD0" w:rsidRPr="00314EF9">
        <w:rPr>
          <w:rFonts w:ascii="Calibri" w:hAnsi="Calibri"/>
          <w:sz w:val="22"/>
          <w:szCs w:val="22"/>
        </w:rPr>
        <w:t>and</w:t>
      </w:r>
      <w:r w:rsidR="00325E67" w:rsidRPr="00314EF9">
        <w:rPr>
          <w:rFonts w:ascii="Calibri" w:hAnsi="Calibri"/>
          <w:sz w:val="22"/>
          <w:szCs w:val="22"/>
        </w:rPr>
        <w:t xml:space="preserve"> annual software licensing fees.</w:t>
      </w:r>
    </w:p>
    <w:p w14:paraId="1399F799" w14:textId="77777777" w:rsidR="005351BD" w:rsidRPr="00314EF9" w:rsidRDefault="005351BD" w:rsidP="00030728">
      <w:pPr>
        <w:spacing w:line="276" w:lineRule="auto"/>
        <w:ind w:left="360" w:hanging="180"/>
        <w:rPr>
          <w:rFonts w:ascii="Calibri" w:hAnsi="Calibri"/>
          <w:sz w:val="22"/>
          <w:szCs w:val="22"/>
        </w:rPr>
      </w:pPr>
    </w:p>
    <w:p w14:paraId="14BC6B59" w14:textId="77777777" w:rsidR="003E5BDF" w:rsidRPr="00314EF9" w:rsidRDefault="003E5BDF" w:rsidP="00030728">
      <w:pPr>
        <w:spacing w:line="276" w:lineRule="auto"/>
        <w:ind w:left="360" w:hanging="180"/>
        <w:rPr>
          <w:rFonts w:ascii="Calibri" w:hAnsi="Calibri"/>
          <w:sz w:val="22"/>
          <w:szCs w:val="22"/>
        </w:rPr>
      </w:pPr>
      <w:r w:rsidRPr="00314EF9">
        <w:rPr>
          <w:rFonts w:ascii="Calibri" w:hAnsi="Calibri"/>
          <w:i/>
          <w:sz w:val="22"/>
          <w:szCs w:val="22"/>
        </w:rPr>
        <w:t>Supplies/Services</w:t>
      </w:r>
      <w:r w:rsidRPr="00314EF9">
        <w:rPr>
          <w:rFonts w:ascii="Calibri" w:hAnsi="Calibri"/>
          <w:sz w:val="22"/>
          <w:szCs w:val="22"/>
        </w:rPr>
        <w:t xml:space="preserve"> – All other supplies/services </w:t>
      </w:r>
      <w:r w:rsidR="00401392" w:rsidRPr="00314EF9">
        <w:rPr>
          <w:rFonts w:ascii="Calibri" w:hAnsi="Calibri"/>
          <w:sz w:val="22"/>
          <w:szCs w:val="22"/>
        </w:rPr>
        <w:t xml:space="preserve">charged to the </w:t>
      </w:r>
      <w:r w:rsidRPr="00314EF9">
        <w:rPr>
          <w:rFonts w:ascii="Calibri" w:hAnsi="Calibri"/>
          <w:sz w:val="22"/>
          <w:szCs w:val="22"/>
        </w:rPr>
        <w:t xml:space="preserve">Core. This includes </w:t>
      </w:r>
      <w:r w:rsidR="000410EC" w:rsidRPr="00314EF9">
        <w:rPr>
          <w:rFonts w:ascii="Calibri" w:hAnsi="Calibri"/>
          <w:sz w:val="22"/>
          <w:szCs w:val="22"/>
        </w:rPr>
        <w:t>laboratory supplies as well as animal care costs.</w:t>
      </w:r>
    </w:p>
    <w:p w14:paraId="1B6EE2BE" w14:textId="77777777" w:rsidR="003E5BDF" w:rsidRPr="00314EF9" w:rsidRDefault="003E5BDF" w:rsidP="00030728">
      <w:pPr>
        <w:spacing w:line="276" w:lineRule="auto"/>
        <w:ind w:left="360" w:hanging="180"/>
        <w:rPr>
          <w:rFonts w:ascii="Calibri" w:hAnsi="Calibri"/>
          <w:sz w:val="22"/>
          <w:szCs w:val="22"/>
        </w:rPr>
      </w:pPr>
    </w:p>
    <w:p w14:paraId="07FD495A" w14:textId="77777777" w:rsidR="000410EC" w:rsidRPr="00314EF9" w:rsidRDefault="000410EC" w:rsidP="00030728">
      <w:pPr>
        <w:spacing w:line="276" w:lineRule="auto"/>
        <w:ind w:left="360" w:hanging="180"/>
        <w:rPr>
          <w:rFonts w:ascii="Calibri" w:hAnsi="Calibri"/>
          <w:sz w:val="22"/>
          <w:szCs w:val="22"/>
        </w:rPr>
      </w:pPr>
      <w:r w:rsidRPr="00314EF9">
        <w:rPr>
          <w:rFonts w:ascii="Calibri" w:hAnsi="Calibri"/>
          <w:i/>
          <w:sz w:val="22"/>
          <w:szCs w:val="22"/>
        </w:rPr>
        <w:t>Travel</w:t>
      </w:r>
      <w:r w:rsidRPr="00314EF9">
        <w:rPr>
          <w:rFonts w:ascii="Calibri" w:hAnsi="Calibri"/>
          <w:sz w:val="22"/>
          <w:szCs w:val="22"/>
        </w:rPr>
        <w:t xml:space="preserve"> – All travel paid </w:t>
      </w:r>
      <w:r w:rsidR="003C6BC1">
        <w:rPr>
          <w:rFonts w:ascii="Calibri" w:hAnsi="Calibri"/>
          <w:sz w:val="22"/>
          <w:szCs w:val="22"/>
        </w:rPr>
        <w:t>from</w:t>
      </w:r>
      <w:r w:rsidRPr="00314EF9">
        <w:rPr>
          <w:rFonts w:ascii="Calibri" w:hAnsi="Calibri"/>
          <w:sz w:val="22"/>
          <w:szCs w:val="22"/>
        </w:rPr>
        <w:t xml:space="preserve"> the </w:t>
      </w:r>
      <w:r w:rsidR="00836DD1" w:rsidRPr="00314EF9">
        <w:rPr>
          <w:rFonts w:ascii="Calibri" w:hAnsi="Calibri"/>
          <w:sz w:val="22"/>
          <w:szCs w:val="22"/>
        </w:rPr>
        <w:t>Core’s budget should be listed o</w:t>
      </w:r>
      <w:r w:rsidRPr="00314EF9">
        <w:rPr>
          <w:rFonts w:ascii="Calibri" w:hAnsi="Calibri"/>
          <w:sz w:val="22"/>
          <w:szCs w:val="22"/>
        </w:rPr>
        <w:t xml:space="preserve">n this </w:t>
      </w:r>
      <w:r w:rsidR="00836DD1" w:rsidRPr="00314EF9">
        <w:rPr>
          <w:rFonts w:ascii="Calibri" w:hAnsi="Calibri"/>
          <w:sz w:val="22"/>
          <w:szCs w:val="22"/>
        </w:rPr>
        <w:t>line</w:t>
      </w:r>
      <w:r w:rsidRPr="00314EF9">
        <w:rPr>
          <w:rFonts w:ascii="Calibri" w:hAnsi="Calibri"/>
          <w:sz w:val="22"/>
          <w:szCs w:val="22"/>
        </w:rPr>
        <w:t>.</w:t>
      </w:r>
    </w:p>
    <w:p w14:paraId="1AF3A943" w14:textId="77777777" w:rsidR="000410EC" w:rsidRPr="00314EF9" w:rsidRDefault="000410EC" w:rsidP="00030728">
      <w:pPr>
        <w:spacing w:line="276" w:lineRule="auto"/>
        <w:ind w:left="360" w:hanging="180"/>
        <w:rPr>
          <w:rFonts w:ascii="Calibri" w:hAnsi="Calibri"/>
          <w:i/>
          <w:sz w:val="22"/>
          <w:szCs w:val="22"/>
        </w:rPr>
      </w:pPr>
    </w:p>
    <w:p w14:paraId="10B11F39" w14:textId="77777777" w:rsidR="00DD6A1A" w:rsidRPr="00314EF9" w:rsidRDefault="00DD6A1A" w:rsidP="00030728">
      <w:pPr>
        <w:spacing w:line="276" w:lineRule="auto"/>
        <w:ind w:left="360" w:hanging="180"/>
        <w:rPr>
          <w:rFonts w:ascii="Calibri" w:hAnsi="Calibri"/>
          <w:sz w:val="22"/>
          <w:szCs w:val="22"/>
        </w:rPr>
      </w:pPr>
      <w:r w:rsidRPr="00314EF9">
        <w:rPr>
          <w:rFonts w:ascii="Calibri" w:hAnsi="Calibri"/>
          <w:i/>
          <w:sz w:val="22"/>
          <w:szCs w:val="22"/>
        </w:rPr>
        <w:t>Other Expense</w:t>
      </w:r>
      <w:r w:rsidRPr="00314EF9">
        <w:rPr>
          <w:rFonts w:ascii="Calibri" w:hAnsi="Calibri"/>
          <w:sz w:val="22"/>
          <w:szCs w:val="22"/>
        </w:rPr>
        <w:t xml:space="preserve"> – List any expenses not</w:t>
      </w:r>
      <w:r w:rsidR="00836DD1" w:rsidRPr="00314EF9">
        <w:rPr>
          <w:rFonts w:ascii="Calibri" w:hAnsi="Calibri"/>
          <w:sz w:val="22"/>
          <w:szCs w:val="22"/>
        </w:rPr>
        <w:t xml:space="preserve"> already </w:t>
      </w:r>
      <w:r w:rsidRPr="00314EF9">
        <w:rPr>
          <w:rFonts w:ascii="Calibri" w:hAnsi="Calibri"/>
          <w:sz w:val="22"/>
          <w:szCs w:val="22"/>
        </w:rPr>
        <w:t>captured.</w:t>
      </w:r>
    </w:p>
    <w:p w14:paraId="760783CD" w14:textId="77777777" w:rsidR="00DD6A1A" w:rsidRPr="00314EF9" w:rsidRDefault="00DD6A1A" w:rsidP="00030728">
      <w:pPr>
        <w:spacing w:line="276" w:lineRule="auto"/>
        <w:ind w:left="360" w:hanging="180"/>
        <w:rPr>
          <w:rFonts w:ascii="Calibri" w:hAnsi="Calibri"/>
          <w:sz w:val="22"/>
          <w:szCs w:val="22"/>
        </w:rPr>
      </w:pPr>
    </w:p>
    <w:p w14:paraId="19585539" w14:textId="779ED382" w:rsidR="00DD6A1A" w:rsidRPr="00314EF9" w:rsidRDefault="00DD6A1A" w:rsidP="00030728">
      <w:pPr>
        <w:spacing w:line="276" w:lineRule="auto"/>
        <w:ind w:left="360" w:hanging="180"/>
        <w:rPr>
          <w:rFonts w:ascii="Calibri" w:hAnsi="Calibri"/>
          <w:sz w:val="22"/>
          <w:szCs w:val="22"/>
        </w:rPr>
      </w:pPr>
      <w:r w:rsidRPr="00314EF9">
        <w:rPr>
          <w:rFonts w:ascii="Calibri" w:hAnsi="Calibri"/>
          <w:i/>
          <w:sz w:val="22"/>
          <w:szCs w:val="22"/>
        </w:rPr>
        <w:t>EXPENSE SUBTOTAL</w:t>
      </w:r>
      <w:r w:rsidRPr="00314EF9">
        <w:rPr>
          <w:rFonts w:ascii="Calibri" w:hAnsi="Calibri"/>
          <w:sz w:val="22"/>
          <w:szCs w:val="22"/>
        </w:rPr>
        <w:t xml:space="preserve"> – This line is populated automatically fr</w:t>
      </w:r>
      <w:r w:rsidR="00401392" w:rsidRPr="00314EF9">
        <w:rPr>
          <w:rFonts w:ascii="Calibri" w:hAnsi="Calibri"/>
          <w:sz w:val="22"/>
          <w:szCs w:val="22"/>
        </w:rPr>
        <w:t>om the information you provide.</w:t>
      </w:r>
    </w:p>
    <w:p w14:paraId="6CCA2806" w14:textId="77777777" w:rsidR="00DD6A1A" w:rsidRPr="00314EF9" w:rsidRDefault="00DD6A1A" w:rsidP="00030728">
      <w:pPr>
        <w:spacing w:line="276" w:lineRule="auto"/>
        <w:rPr>
          <w:rFonts w:ascii="Calibri" w:hAnsi="Calibri"/>
          <w:sz w:val="22"/>
          <w:szCs w:val="22"/>
        </w:rPr>
      </w:pPr>
    </w:p>
    <w:p w14:paraId="226E507D" w14:textId="77777777" w:rsidR="004F57AD" w:rsidRDefault="00401392" w:rsidP="00030728">
      <w:pPr>
        <w:spacing w:line="276" w:lineRule="auto"/>
        <w:rPr>
          <w:rFonts w:ascii="Calibri" w:hAnsi="Calibri"/>
          <w:b/>
          <w:sz w:val="22"/>
          <w:szCs w:val="22"/>
        </w:rPr>
      </w:pPr>
      <w:r w:rsidRPr="00314EF9">
        <w:rPr>
          <w:rFonts w:ascii="Calibri" w:hAnsi="Calibri"/>
          <w:b/>
          <w:sz w:val="22"/>
          <w:szCs w:val="22"/>
        </w:rPr>
        <w:t>III.</w:t>
      </w:r>
      <w:r w:rsidR="00623BB4">
        <w:rPr>
          <w:rFonts w:ascii="Calibri" w:hAnsi="Calibri"/>
          <w:b/>
          <w:sz w:val="22"/>
          <w:szCs w:val="22"/>
        </w:rPr>
        <w:t xml:space="preserve"> Summary Statistics</w:t>
      </w:r>
    </w:p>
    <w:p w14:paraId="7D128ADF" w14:textId="77777777" w:rsidR="00623BB4" w:rsidRPr="00314EF9" w:rsidRDefault="00623BB4" w:rsidP="00030728">
      <w:pPr>
        <w:spacing w:line="276" w:lineRule="auto"/>
        <w:rPr>
          <w:rFonts w:ascii="Calibri" w:hAnsi="Calibri"/>
          <w:b/>
          <w:sz w:val="22"/>
          <w:szCs w:val="22"/>
        </w:rPr>
      </w:pPr>
    </w:p>
    <w:p w14:paraId="4B668772" w14:textId="5F342F56" w:rsidR="0002704B" w:rsidRPr="00314EF9" w:rsidRDefault="0002704B" w:rsidP="00030728">
      <w:pPr>
        <w:spacing w:line="276" w:lineRule="auto"/>
        <w:rPr>
          <w:rFonts w:ascii="Calibri" w:hAnsi="Calibri"/>
          <w:sz w:val="22"/>
          <w:szCs w:val="22"/>
        </w:rPr>
      </w:pPr>
      <w:r w:rsidRPr="00314EF9">
        <w:rPr>
          <w:rFonts w:ascii="Calibri" w:hAnsi="Calibri"/>
          <w:sz w:val="22"/>
          <w:szCs w:val="22"/>
        </w:rPr>
        <w:lastRenderedPageBreak/>
        <w:t xml:space="preserve">The line items below </w:t>
      </w:r>
      <w:r w:rsidR="003E5BDF" w:rsidRPr="00314EF9">
        <w:rPr>
          <w:rFonts w:ascii="Calibri" w:hAnsi="Calibri"/>
          <w:sz w:val="22"/>
          <w:szCs w:val="22"/>
        </w:rPr>
        <w:t>“NET POSITION” are populated automatically from the information you provide</w:t>
      </w:r>
      <w:r w:rsidRPr="00314EF9">
        <w:rPr>
          <w:rFonts w:ascii="Calibri" w:hAnsi="Calibri"/>
          <w:sz w:val="22"/>
          <w:szCs w:val="22"/>
        </w:rPr>
        <w:t>.</w:t>
      </w:r>
    </w:p>
    <w:p w14:paraId="3766F2C3" w14:textId="00BA26B3" w:rsidR="00566413" w:rsidRDefault="00566413" w:rsidP="00030728">
      <w:pPr>
        <w:spacing w:line="276" w:lineRule="auto"/>
        <w:rPr>
          <w:rFonts w:ascii="Calibri" w:hAnsi="Calibri"/>
          <w:sz w:val="22"/>
          <w:szCs w:val="22"/>
        </w:rPr>
      </w:pPr>
    </w:p>
    <w:sectPr w:rsidR="00566413" w:rsidSect="00D34728">
      <w:footerReference w:type="default" r:id="rId8"/>
      <w:pgSz w:w="12240" w:h="15840" w:code="1"/>
      <w:pgMar w:top="1008"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CC55D" w14:textId="77777777" w:rsidR="006E5A53" w:rsidRDefault="006E5A53">
      <w:r>
        <w:separator/>
      </w:r>
    </w:p>
  </w:endnote>
  <w:endnote w:type="continuationSeparator" w:id="0">
    <w:p w14:paraId="03153B5C" w14:textId="77777777" w:rsidR="006E5A53" w:rsidRDefault="006E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3EDF" w14:textId="20887035" w:rsidR="004B7976" w:rsidRDefault="004B7976" w:rsidP="00566413">
    <w:pPr>
      <w:pStyle w:val="Footer"/>
      <w:jc w:val="center"/>
    </w:pPr>
    <w:r>
      <w:rPr>
        <w:rStyle w:val="PageNumber"/>
      </w:rPr>
      <w:fldChar w:fldCharType="begin"/>
    </w:r>
    <w:r>
      <w:rPr>
        <w:rStyle w:val="PageNumber"/>
      </w:rPr>
      <w:instrText xml:space="preserve"> PAGE </w:instrText>
    </w:r>
    <w:r>
      <w:rPr>
        <w:rStyle w:val="PageNumber"/>
      </w:rPr>
      <w:fldChar w:fldCharType="separate"/>
    </w:r>
    <w:r w:rsidR="00290E1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1DE4" w14:textId="77777777" w:rsidR="006E5A53" w:rsidRDefault="006E5A53">
      <w:r>
        <w:separator/>
      </w:r>
    </w:p>
  </w:footnote>
  <w:footnote w:type="continuationSeparator" w:id="0">
    <w:p w14:paraId="0FC38DD4" w14:textId="77777777" w:rsidR="006E5A53" w:rsidRDefault="006E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C1B83"/>
    <w:multiLevelType w:val="hybridMultilevel"/>
    <w:tmpl w:val="5CA45A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4A55FD"/>
    <w:multiLevelType w:val="hybridMultilevel"/>
    <w:tmpl w:val="197E4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5110673">
    <w:abstractNumId w:val="1"/>
  </w:num>
  <w:num w:numId="2" w16cid:durableId="145902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44"/>
    <w:rsid w:val="000000D0"/>
    <w:rsid w:val="0002704B"/>
    <w:rsid w:val="00030728"/>
    <w:rsid w:val="000315EE"/>
    <w:rsid w:val="00033FC4"/>
    <w:rsid w:val="00034C43"/>
    <w:rsid w:val="000410EC"/>
    <w:rsid w:val="00043BCC"/>
    <w:rsid w:val="000449E9"/>
    <w:rsid w:val="00044EDD"/>
    <w:rsid w:val="000474C3"/>
    <w:rsid w:val="00051375"/>
    <w:rsid w:val="00062837"/>
    <w:rsid w:val="00065E1F"/>
    <w:rsid w:val="00070DD7"/>
    <w:rsid w:val="00070EE2"/>
    <w:rsid w:val="00072C3B"/>
    <w:rsid w:val="0009575B"/>
    <w:rsid w:val="000A280B"/>
    <w:rsid w:val="000C2B21"/>
    <w:rsid w:val="000C325A"/>
    <w:rsid w:val="000D6158"/>
    <w:rsid w:val="000E190B"/>
    <w:rsid w:val="00111427"/>
    <w:rsid w:val="0011395F"/>
    <w:rsid w:val="0012197A"/>
    <w:rsid w:val="001236C1"/>
    <w:rsid w:val="00124445"/>
    <w:rsid w:val="00135A11"/>
    <w:rsid w:val="00136929"/>
    <w:rsid w:val="00146BCC"/>
    <w:rsid w:val="00155287"/>
    <w:rsid w:val="00161022"/>
    <w:rsid w:val="00161F36"/>
    <w:rsid w:val="001A3F3F"/>
    <w:rsid w:val="001A4389"/>
    <w:rsid w:val="001A493B"/>
    <w:rsid w:val="001C301C"/>
    <w:rsid w:val="001D392E"/>
    <w:rsid w:val="001D6B36"/>
    <w:rsid w:val="001E16B0"/>
    <w:rsid w:val="001E3C30"/>
    <w:rsid w:val="001E4E6A"/>
    <w:rsid w:val="001E4EE9"/>
    <w:rsid w:val="001F7852"/>
    <w:rsid w:val="0020387E"/>
    <w:rsid w:val="00225C69"/>
    <w:rsid w:val="00246FD9"/>
    <w:rsid w:val="0025577D"/>
    <w:rsid w:val="0026209D"/>
    <w:rsid w:val="002740E1"/>
    <w:rsid w:val="002740ED"/>
    <w:rsid w:val="00280A7B"/>
    <w:rsid w:val="00286001"/>
    <w:rsid w:val="00290E1A"/>
    <w:rsid w:val="002A3F44"/>
    <w:rsid w:val="002C2191"/>
    <w:rsid w:val="002E53B8"/>
    <w:rsid w:val="003036B7"/>
    <w:rsid w:val="00303C03"/>
    <w:rsid w:val="00305BC0"/>
    <w:rsid w:val="00306354"/>
    <w:rsid w:val="00310535"/>
    <w:rsid w:val="00313EF5"/>
    <w:rsid w:val="00314EF9"/>
    <w:rsid w:val="00325E67"/>
    <w:rsid w:val="003506A8"/>
    <w:rsid w:val="003524A3"/>
    <w:rsid w:val="00352EAE"/>
    <w:rsid w:val="003548B4"/>
    <w:rsid w:val="00362DC4"/>
    <w:rsid w:val="00380E98"/>
    <w:rsid w:val="00393D9B"/>
    <w:rsid w:val="00394109"/>
    <w:rsid w:val="003A47BF"/>
    <w:rsid w:val="003A527B"/>
    <w:rsid w:val="003B3718"/>
    <w:rsid w:val="003B5328"/>
    <w:rsid w:val="003C6BC1"/>
    <w:rsid w:val="003C7505"/>
    <w:rsid w:val="003C7F71"/>
    <w:rsid w:val="003D1003"/>
    <w:rsid w:val="003E2FDD"/>
    <w:rsid w:val="003E5BDF"/>
    <w:rsid w:val="003F21D0"/>
    <w:rsid w:val="003F789E"/>
    <w:rsid w:val="00400820"/>
    <w:rsid w:val="00401392"/>
    <w:rsid w:val="00403885"/>
    <w:rsid w:val="0041118B"/>
    <w:rsid w:val="004139B1"/>
    <w:rsid w:val="004146E0"/>
    <w:rsid w:val="004338FB"/>
    <w:rsid w:val="00441535"/>
    <w:rsid w:val="004417EC"/>
    <w:rsid w:val="00464BB8"/>
    <w:rsid w:val="0046776A"/>
    <w:rsid w:val="00467DE1"/>
    <w:rsid w:val="004802A8"/>
    <w:rsid w:val="00486718"/>
    <w:rsid w:val="00494765"/>
    <w:rsid w:val="004A1C9D"/>
    <w:rsid w:val="004A40A2"/>
    <w:rsid w:val="004B03F2"/>
    <w:rsid w:val="004B7976"/>
    <w:rsid w:val="004C2DF1"/>
    <w:rsid w:val="004E4C2B"/>
    <w:rsid w:val="004E60AB"/>
    <w:rsid w:val="004F4BAB"/>
    <w:rsid w:val="004F57AD"/>
    <w:rsid w:val="00504BAC"/>
    <w:rsid w:val="00510146"/>
    <w:rsid w:val="00522013"/>
    <w:rsid w:val="00522BFA"/>
    <w:rsid w:val="00524A2D"/>
    <w:rsid w:val="00533EAF"/>
    <w:rsid w:val="005351BD"/>
    <w:rsid w:val="00536184"/>
    <w:rsid w:val="00545718"/>
    <w:rsid w:val="00547629"/>
    <w:rsid w:val="00560549"/>
    <w:rsid w:val="00561A6C"/>
    <w:rsid w:val="00566413"/>
    <w:rsid w:val="00576BD1"/>
    <w:rsid w:val="005808DE"/>
    <w:rsid w:val="005D3516"/>
    <w:rsid w:val="005D7D06"/>
    <w:rsid w:val="005E6993"/>
    <w:rsid w:val="005F3A59"/>
    <w:rsid w:val="00614383"/>
    <w:rsid w:val="00615A6C"/>
    <w:rsid w:val="006228FC"/>
    <w:rsid w:val="00623BB4"/>
    <w:rsid w:val="0062562B"/>
    <w:rsid w:val="006511B4"/>
    <w:rsid w:val="006525DB"/>
    <w:rsid w:val="006526D4"/>
    <w:rsid w:val="00654C89"/>
    <w:rsid w:val="006600B0"/>
    <w:rsid w:val="00684B6E"/>
    <w:rsid w:val="00696B74"/>
    <w:rsid w:val="006A6906"/>
    <w:rsid w:val="006A6E0C"/>
    <w:rsid w:val="006A7118"/>
    <w:rsid w:val="006C4742"/>
    <w:rsid w:val="006C4F8D"/>
    <w:rsid w:val="006D0EA9"/>
    <w:rsid w:val="006E5A53"/>
    <w:rsid w:val="007042E0"/>
    <w:rsid w:val="00720498"/>
    <w:rsid w:val="007555E8"/>
    <w:rsid w:val="00773E94"/>
    <w:rsid w:val="007804E8"/>
    <w:rsid w:val="00780AD0"/>
    <w:rsid w:val="007942D7"/>
    <w:rsid w:val="007A03A1"/>
    <w:rsid w:val="007B649D"/>
    <w:rsid w:val="007C4260"/>
    <w:rsid w:val="007C5246"/>
    <w:rsid w:val="007F5E5E"/>
    <w:rsid w:val="00804FAB"/>
    <w:rsid w:val="00806A41"/>
    <w:rsid w:val="00813653"/>
    <w:rsid w:val="0082228C"/>
    <w:rsid w:val="0082540D"/>
    <w:rsid w:val="00836DD1"/>
    <w:rsid w:val="0085695A"/>
    <w:rsid w:val="008609FC"/>
    <w:rsid w:val="008644D9"/>
    <w:rsid w:val="008671C6"/>
    <w:rsid w:val="00890F37"/>
    <w:rsid w:val="008A177E"/>
    <w:rsid w:val="008B52F3"/>
    <w:rsid w:val="008D5877"/>
    <w:rsid w:val="008E008D"/>
    <w:rsid w:val="008E0AA7"/>
    <w:rsid w:val="008F0E9F"/>
    <w:rsid w:val="008F1DAB"/>
    <w:rsid w:val="008F4F3F"/>
    <w:rsid w:val="008F726E"/>
    <w:rsid w:val="009331DE"/>
    <w:rsid w:val="00960E95"/>
    <w:rsid w:val="009740BC"/>
    <w:rsid w:val="009A5644"/>
    <w:rsid w:val="009A61AE"/>
    <w:rsid w:val="009B6EBA"/>
    <w:rsid w:val="009E0DD1"/>
    <w:rsid w:val="009E269C"/>
    <w:rsid w:val="009E6C02"/>
    <w:rsid w:val="009E71B5"/>
    <w:rsid w:val="009E7245"/>
    <w:rsid w:val="009F0897"/>
    <w:rsid w:val="00A10DC4"/>
    <w:rsid w:val="00A10E09"/>
    <w:rsid w:val="00A2149C"/>
    <w:rsid w:val="00A2544B"/>
    <w:rsid w:val="00A256D8"/>
    <w:rsid w:val="00A548CD"/>
    <w:rsid w:val="00A56891"/>
    <w:rsid w:val="00A627F8"/>
    <w:rsid w:val="00A75975"/>
    <w:rsid w:val="00A91E1C"/>
    <w:rsid w:val="00A964DD"/>
    <w:rsid w:val="00A97613"/>
    <w:rsid w:val="00AA786B"/>
    <w:rsid w:val="00AC030F"/>
    <w:rsid w:val="00AC2F90"/>
    <w:rsid w:val="00B04954"/>
    <w:rsid w:val="00B063FF"/>
    <w:rsid w:val="00B16277"/>
    <w:rsid w:val="00B16B19"/>
    <w:rsid w:val="00B16B96"/>
    <w:rsid w:val="00B22325"/>
    <w:rsid w:val="00B31E4D"/>
    <w:rsid w:val="00B42976"/>
    <w:rsid w:val="00B46360"/>
    <w:rsid w:val="00B52CD7"/>
    <w:rsid w:val="00B74850"/>
    <w:rsid w:val="00B92685"/>
    <w:rsid w:val="00B95905"/>
    <w:rsid w:val="00BA4FCC"/>
    <w:rsid w:val="00BC6436"/>
    <w:rsid w:val="00BD609F"/>
    <w:rsid w:val="00BE1865"/>
    <w:rsid w:val="00BE2B5B"/>
    <w:rsid w:val="00C20625"/>
    <w:rsid w:val="00C33946"/>
    <w:rsid w:val="00C546F5"/>
    <w:rsid w:val="00C56F06"/>
    <w:rsid w:val="00C57203"/>
    <w:rsid w:val="00C75725"/>
    <w:rsid w:val="00C9580C"/>
    <w:rsid w:val="00CD7FAF"/>
    <w:rsid w:val="00D13307"/>
    <w:rsid w:val="00D1421E"/>
    <w:rsid w:val="00D1679E"/>
    <w:rsid w:val="00D34728"/>
    <w:rsid w:val="00D40567"/>
    <w:rsid w:val="00D413A7"/>
    <w:rsid w:val="00D42A40"/>
    <w:rsid w:val="00D649A2"/>
    <w:rsid w:val="00D85680"/>
    <w:rsid w:val="00D85AE4"/>
    <w:rsid w:val="00D85F04"/>
    <w:rsid w:val="00DB0CF6"/>
    <w:rsid w:val="00DB492D"/>
    <w:rsid w:val="00DC1C21"/>
    <w:rsid w:val="00DC74FD"/>
    <w:rsid w:val="00DD05C7"/>
    <w:rsid w:val="00DD6A1A"/>
    <w:rsid w:val="00DF6ECF"/>
    <w:rsid w:val="00DF7866"/>
    <w:rsid w:val="00E012D4"/>
    <w:rsid w:val="00E04E2A"/>
    <w:rsid w:val="00E17A1C"/>
    <w:rsid w:val="00E33184"/>
    <w:rsid w:val="00E460F9"/>
    <w:rsid w:val="00E84B2D"/>
    <w:rsid w:val="00E93DE8"/>
    <w:rsid w:val="00E9451B"/>
    <w:rsid w:val="00EA1E38"/>
    <w:rsid w:val="00EB323D"/>
    <w:rsid w:val="00EE192B"/>
    <w:rsid w:val="00EE5CDD"/>
    <w:rsid w:val="00F112AE"/>
    <w:rsid w:val="00F26C0F"/>
    <w:rsid w:val="00F3436B"/>
    <w:rsid w:val="00F42FC9"/>
    <w:rsid w:val="00F61F50"/>
    <w:rsid w:val="00F64279"/>
    <w:rsid w:val="00F73EB6"/>
    <w:rsid w:val="00F74FC2"/>
    <w:rsid w:val="00F84042"/>
    <w:rsid w:val="00F91095"/>
    <w:rsid w:val="00FA1862"/>
    <w:rsid w:val="00FB253D"/>
    <w:rsid w:val="00FE5489"/>
    <w:rsid w:val="00FF5391"/>
    <w:rsid w:val="00FF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5155D"/>
  <w15:docId w15:val="{54FB60C1-5B4C-405D-9DDC-C0BF79FC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6413"/>
    <w:pPr>
      <w:tabs>
        <w:tab w:val="center" w:pos="4320"/>
        <w:tab w:val="right" w:pos="8640"/>
      </w:tabs>
    </w:pPr>
  </w:style>
  <w:style w:type="paragraph" w:styleId="Footer">
    <w:name w:val="footer"/>
    <w:basedOn w:val="Normal"/>
    <w:rsid w:val="00566413"/>
    <w:pPr>
      <w:tabs>
        <w:tab w:val="center" w:pos="4320"/>
        <w:tab w:val="right" w:pos="8640"/>
      </w:tabs>
    </w:pPr>
  </w:style>
  <w:style w:type="character" w:styleId="PageNumber">
    <w:name w:val="page number"/>
    <w:basedOn w:val="DefaultParagraphFont"/>
    <w:rsid w:val="00566413"/>
  </w:style>
  <w:style w:type="character" w:styleId="Hyperlink">
    <w:name w:val="Hyperlink"/>
    <w:rsid w:val="003C7F71"/>
    <w:rPr>
      <w:color w:val="0000FF"/>
      <w:u w:val="single"/>
    </w:rPr>
  </w:style>
  <w:style w:type="character" w:styleId="FollowedHyperlink">
    <w:name w:val="FollowedHyperlink"/>
    <w:rsid w:val="00B16277"/>
    <w:rPr>
      <w:color w:val="800080"/>
      <w:u w:val="single"/>
    </w:rPr>
  </w:style>
  <w:style w:type="paragraph" w:styleId="BalloonText">
    <w:name w:val="Balloon Text"/>
    <w:basedOn w:val="Normal"/>
    <w:semiHidden/>
    <w:rsid w:val="00D34728"/>
    <w:rPr>
      <w:rFonts w:ascii="Tahoma" w:hAnsi="Tahoma" w:cs="Tahoma"/>
      <w:sz w:val="16"/>
      <w:szCs w:val="16"/>
    </w:rPr>
  </w:style>
  <w:style w:type="paragraph" w:styleId="ListParagraph">
    <w:name w:val="List Paragraph"/>
    <w:basedOn w:val="Normal"/>
    <w:uiPriority w:val="34"/>
    <w:qFormat/>
    <w:rsid w:val="004E4C2B"/>
    <w:pPr>
      <w:ind w:left="720"/>
    </w:pPr>
  </w:style>
  <w:style w:type="paragraph" w:styleId="NormalWeb">
    <w:name w:val="Normal (Web)"/>
    <w:basedOn w:val="Normal"/>
    <w:uiPriority w:val="99"/>
    <w:unhideWhenUsed/>
    <w:rsid w:val="00561A6C"/>
    <w:pPr>
      <w:spacing w:before="100" w:beforeAutospacing="1" w:after="100" w:afterAutospacing="1"/>
    </w:pPr>
    <w:rPr>
      <w:lang w:eastAsia="zh-CN"/>
    </w:rPr>
  </w:style>
  <w:style w:type="character" w:customStyle="1" w:styleId="apple-style-span">
    <w:name w:val="apple-style-span"/>
    <w:basedOn w:val="DefaultParagraphFont"/>
    <w:rsid w:val="001E16B0"/>
  </w:style>
  <w:style w:type="character" w:customStyle="1" w:styleId="apple-converted-space">
    <w:name w:val="apple-converted-space"/>
    <w:basedOn w:val="DefaultParagraphFont"/>
    <w:rsid w:val="001E16B0"/>
  </w:style>
  <w:style w:type="paragraph" w:customStyle="1" w:styleId="Default">
    <w:name w:val="Default"/>
    <w:rsid w:val="001E16B0"/>
    <w:pPr>
      <w:autoSpaceDE w:val="0"/>
      <w:autoSpaceDN w:val="0"/>
      <w:adjustRightInd w:val="0"/>
    </w:pPr>
    <w:rPr>
      <w:color w:val="000000"/>
      <w:sz w:val="24"/>
      <w:szCs w:val="24"/>
      <w:lang w:eastAsia="zh-CN"/>
    </w:rPr>
  </w:style>
  <w:style w:type="character" w:styleId="UnresolvedMention">
    <w:name w:val="Unresolved Mention"/>
    <w:basedOn w:val="DefaultParagraphFont"/>
    <w:uiPriority w:val="99"/>
    <w:semiHidden/>
    <w:unhideWhenUsed/>
    <w:rsid w:val="00255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9115">
      <w:bodyDiv w:val="1"/>
      <w:marLeft w:val="0"/>
      <w:marRight w:val="0"/>
      <w:marTop w:val="0"/>
      <w:marBottom w:val="0"/>
      <w:divBdr>
        <w:top w:val="none" w:sz="0" w:space="0" w:color="auto"/>
        <w:left w:val="none" w:sz="0" w:space="0" w:color="auto"/>
        <w:bottom w:val="none" w:sz="0" w:space="0" w:color="auto"/>
        <w:right w:val="none" w:sz="0" w:space="0" w:color="auto"/>
      </w:divBdr>
      <w:divsChild>
        <w:div w:id="147400484">
          <w:marLeft w:val="0"/>
          <w:marRight w:val="0"/>
          <w:marTop w:val="0"/>
          <w:marBottom w:val="0"/>
          <w:divBdr>
            <w:top w:val="none" w:sz="0" w:space="0" w:color="auto"/>
            <w:left w:val="none" w:sz="0" w:space="0" w:color="auto"/>
            <w:bottom w:val="none" w:sz="0" w:space="0" w:color="auto"/>
            <w:right w:val="none" w:sz="0" w:space="0" w:color="auto"/>
          </w:divBdr>
        </w:div>
        <w:div w:id="152139741">
          <w:marLeft w:val="0"/>
          <w:marRight w:val="0"/>
          <w:marTop w:val="0"/>
          <w:marBottom w:val="0"/>
          <w:divBdr>
            <w:top w:val="none" w:sz="0" w:space="0" w:color="auto"/>
            <w:left w:val="none" w:sz="0" w:space="0" w:color="auto"/>
            <w:bottom w:val="none" w:sz="0" w:space="0" w:color="auto"/>
            <w:right w:val="none" w:sz="0" w:space="0" w:color="auto"/>
          </w:divBdr>
        </w:div>
        <w:div w:id="197931259">
          <w:marLeft w:val="0"/>
          <w:marRight w:val="0"/>
          <w:marTop w:val="0"/>
          <w:marBottom w:val="0"/>
          <w:divBdr>
            <w:top w:val="none" w:sz="0" w:space="0" w:color="auto"/>
            <w:left w:val="none" w:sz="0" w:space="0" w:color="auto"/>
            <w:bottom w:val="none" w:sz="0" w:space="0" w:color="auto"/>
            <w:right w:val="none" w:sz="0" w:space="0" w:color="auto"/>
          </w:divBdr>
        </w:div>
        <w:div w:id="267469382">
          <w:marLeft w:val="0"/>
          <w:marRight w:val="0"/>
          <w:marTop w:val="0"/>
          <w:marBottom w:val="0"/>
          <w:divBdr>
            <w:top w:val="none" w:sz="0" w:space="0" w:color="auto"/>
            <w:left w:val="none" w:sz="0" w:space="0" w:color="auto"/>
            <w:bottom w:val="none" w:sz="0" w:space="0" w:color="auto"/>
            <w:right w:val="none" w:sz="0" w:space="0" w:color="auto"/>
          </w:divBdr>
        </w:div>
        <w:div w:id="286276342">
          <w:marLeft w:val="0"/>
          <w:marRight w:val="0"/>
          <w:marTop w:val="0"/>
          <w:marBottom w:val="0"/>
          <w:divBdr>
            <w:top w:val="none" w:sz="0" w:space="0" w:color="auto"/>
            <w:left w:val="none" w:sz="0" w:space="0" w:color="auto"/>
            <w:bottom w:val="none" w:sz="0" w:space="0" w:color="auto"/>
            <w:right w:val="none" w:sz="0" w:space="0" w:color="auto"/>
          </w:divBdr>
        </w:div>
        <w:div w:id="290939325">
          <w:marLeft w:val="0"/>
          <w:marRight w:val="0"/>
          <w:marTop w:val="0"/>
          <w:marBottom w:val="0"/>
          <w:divBdr>
            <w:top w:val="none" w:sz="0" w:space="0" w:color="auto"/>
            <w:left w:val="none" w:sz="0" w:space="0" w:color="auto"/>
            <w:bottom w:val="none" w:sz="0" w:space="0" w:color="auto"/>
            <w:right w:val="none" w:sz="0" w:space="0" w:color="auto"/>
          </w:divBdr>
        </w:div>
        <w:div w:id="326710573">
          <w:marLeft w:val="0"/>
          <w:marRight w:val="0"/>
          <w:marTop w:val="0"/>
          <w:marBottom w:val="0"/>
          <w:divBdr>
            <w:top w:val="none" w:sz="0" w:space="0" w:color="auto"/>
            <w:left w:val="none" w:sz="0" w:space="0" w:color="auto"/>
            <w:bottom w:val="none" w:sz="0" w:space="0" w:color="auto"/>
            <w:right w:val="none" w:sz="0" w:space="0" w:color="auto"/>
          </w:divBdr>
        </w:div>
        <w:div w:id="367488612">
          <w:marLeft w:val="0"/>
          <w:marRight w:val="0"/>
          <w:marTop w:val="0"/>
          <w:marBottom w:val="0"/>
          <w:divBdr>
            <w:top w:val="none" w:sz="0" w:space="0" w:color="auto"/>
            <w:left w:val="none" w:sz="0" w:space="0" w:color="auto"/>
            <w:bottom w:val="none" w:sz="0" w:space="0" w:color="auto"/>
            <w:right w:val="none" w:sz="0" w:space="0" w:color="auto"/>
          </w:divBdr>
        </w:div>
        <w:div w:id="370763955">
          <w:marLeft w:val="0"/>
          <w:marRight w:val="0"/>
          <w:marTop w:val="0"/>
          <w:marBottom w:val="0"/>
          <w:divBdr>
            <w:top w:val="none" w:sz="0" w:space="0" w:color="auto"/>
            <w:left w:val="none" w:sz="0" w:space="0" w:color="auto"/>
            <w:bottom w:val="none" w:sz="0" w:space="0" w:color="auto"/>
            <w:right w:val="none" w:sz="0" w:space="0" w:color="auto"/>
          </w:divBdr>
        </w:div>
        <w:div w:id="381832408">
          <w:marLeft w:val="0"/>
          <w:marRight w:val="0"/>
          <w:marTop w:val="0"/>
          <w:marBottom w:val="0"/>
          <w:divBdr>
            <w:top w:val="none" w:sz="0" w:space="0" w:color="auto"/>
            <w:left w:val="none" w:sz="0" w:space="0" w:color="auto"/>
            <w:bottom w:val="none" w:sz="0" w:space="0" w:color="auto"/>
            <w:right w:val="none" w:sz="0" w:space="0" w:color="auto"/>
          </w:divBdr>
        </w:div>
        <w:div w:id="436604909">
          <w:marLeft w:val="0"/>
          <w:marRight w:val="0"/>
          <w:marTop w:val="0"/>
          <w:marBottom w:val="0"/>
          <w:divBdr>
            <w:top w:val="none" w:sz="0" w:space="0" w:color="auto"/>
            <w:left w:val="none" w:sz="0" w:space="0" w:color="auto"/>
            <w:bottom w:val="none" w:sz="0" w:space="0" w:color="auto"/>
            <w:right w:val="none" w:sz="0" w:space="0" w:color="auto"/>
          </w:divBdr>
        </w:div>
        <w:div w:id="453208453">
          <w:marLeft w:val="0"/>
          <w:marRight w:val="0"/>
          <w:marTop w:val="0"/>
          <w:marBottom w:val="0"/>
          <w:divBdr>
            <w:top w:val="none" w:sz="0" w:space="0" w:color="auto"/>
            <w:left w:val="none" w:sz="0" w:space="0" w:color="auto"/>
            <w:bottom w:val="none" w:sz="0" w:space="0" w:color="auto"/>
            <w:right w:val="none" w:sz="0" w:space="0" w:color="auto"/>
          </w:divBdr>
        </w:div>
        <w:div w:id="476842636">
          <w:marLeft w:val="0"/>
          <w:marRight w:val="0"/>
          <w:marTop w:val="0"/>
          <w:marBottom w:val="0"/>
          <w:divBdr>
            <w:top w:val="none" w:sz="0" w:space="0" w:color="auto"/>
            <w:left w:val="none" w:sz="0" w:space="0" w:color="auto"/>
            <w:bottom w:val="none" w:sz="0" w:space="0" w:color="auto"/>
            <w:right w:val="none" w:sz="0" w:space="0" w:color="auto"/>
          </w:divBdr>
        </w:div>
        <w:div w:id="547836897">
          <w:marLeft w:val="0"/>
          <w:marRight w:val="0"/>
          <w:marTop w:val="0"/>
          <w:marBottom w:val="0"/>
          <w:divBdr>
            <w:top w:val="none" w:sz="0" w:space="0" w:color="auto"/>
            <w:left w:val="none" w:sz="0" w:space="0" w:color="auto"/>
            <w:bottom w:val="none" w:sz="0" w:space="0" w:color="auto"/>
            <w:right w:val="none" w:sz="0" w:space="0" w:color="auto"/>
          </w:divBdr>
        </w:div>
        <w:div w:id="554125131">
          <w:marLeft w:val="0"/>
          <w:marRight w:val="0"/>
          <w:marTop w:val="0"/>
          <w:marBottom w:val="0"/>
          <w:divBdr>
            <w:top w:val="none" w:sz="0" w:space="0" w:color="auto"/>
            <w:left w:val="none" w:sz="0" w:space="0" w:color="auto"/>
            <w:bottom w:val="none" w:sz="0" w:space="0" w:color="auto"/>
            <w:right w:val="none" w:sz="0" w:space="0" w:color="auto"/>
          </w:divBdr>
        </w:div>
        <w:div w:id="560561799">
          <w:marLeft w:val="0"/>
          <w:marRight w:val="0"/>
          <w:marTop w:val="0"/>
          <w:marBottom w:val="0"/>
          <w:divBdr>
            <w:top w:val="none" w:sz="0" w:space="0" w:color="auto"/>
            <w:left w:val="none" w:sz="0" w:space="0" w:color="auto"/>
            <w:bottom w:val="none" w:sz="0" w:space="0" w:color="auto"/>
            <w:right w:val="none" w:sz="0" w:space="0" w:color="auto"/>
          </w:divBdr>
        </w:div>
        <w:div w:id="582226700">
          <w:marLeft w:val="0"/>
          <w:marRight w:val="0"/>
          <w:marTop w:val="0"/>
          <w:marBottom w:val="0"/>
          <w:divBdr>
            <w:top w:val="none" w:sz="0" w:space="0" w:color="auto"/>
            <w:left w:val="none" w:sz="0" w:space="0" w:color="auto"/>
            <w:bottom w:val="none" w:sz="0" w:space="0" w:color="auto"/>
            <w:right w:val="none" w:sz="0" w:space="0" w:color="auto"/>
          </w:divBdr>
        </w:div>
        <w:div w:id="617835474">
          <w:marLeft w:val="0"/>
          <w:marRight w:val="0"/>
          <w:marTop w:val="0"/>
          <w:marBottom w:val="0"/>
          <w:divBdr>
            <w:top w:val="none" w:sz="0" w:space="0" w:color="auto"/>
            <w:left w:val="none" w:sz="0" w:space="0" w:color="auto"/>
            <w:bottom w:val="none" w:sz="0" w:space="0" w:color="auto"/>
            <w:right w:val="none" w:sz="0" w:space="0" w:color="auto"/>
          </w:divBdr>
        </w:div>
        <w:div w:id="687416111">
          <w:marLeft w:val="0"/>
          <w:marRight w:val="0"/>
          <w:marTop w:val="0"/>
          <w:marBottom w:val="0"/>
          <w:divBdr>
            <w:top w:val="none" w:sz="0" w:space="0" w:color="auto"/>
            <w:left w:val="none" w:sz="0" w:space="0" w:color="auto"/>
            <w:bottom w:val="none" w:sz="0" w:space="0" w:color="auto"/>
            <w:right w:val="none" w:sz="0" w:space="0" w:color="auto"/>
          </w:divBdr>
        </w:div>
        <w:div w:id="773138817">
          <w:marLeft w:val="0"/>
          <w:marRight w:val="0"/>
          <w:marTop w:val="0"/>
          <w:marBottom w:val="0"/>
          <w:divBdr>
            <w:top w:val="none" w:sz="0" w:space="0" w:color="auto"/>
            <w:left w:val="none" w:sz="0" w:space="0" w:color="auto"/>
            <w:bottom w:val="none" w:sz="0" w:space="0" w:color="auto"/>
            <w:right w:val="none" w:sz="0" w:space="0" w:color="auto"/>
          </w:divBdr>
        </w:div>
        <w:div w:id="776677788">
          <w:marLeft w:val="0"/>
          <w:marRight w:val="0"/>
          <w:marTop w:val="0"/>
          <w:marBottom w:val="0"/>
          <w:divBdr>
            <w:top w:val="none" w:sz="0" w:space="0" w:color="auto"/>
            <w:left w:val="none" w:sz="0" w:space="0" w:color="auto"/>
            <w:bottom w:val="none" w:sz="0" w:space="0" w:color="auto"/>
            <w:right w:val="none" w:sz="0" w:space="0" w:color="auto"/>
          </w:divBdr>
        </w:div>
        <w:div w:id="804129773">
          <w:marLeft w:val="0"/>
          <w:marRight w:val="0"/>
          <w:marTop w:val="0"/>
          <w:marBottom w:val="0"/>
          <w:divBdr>
            <w:top w:val="none" w:sz="0" w:space="0" w:color="auto"/>
            <w:left w:val="none" w:sz="0" w:space="0" w:color="auto"/>
            <w:bottom w:val="none" w:sz="0" w:space="0" w:color="auto"/>
            <w:right w:val="none" w:sz="0" w:space="0" w:color="auto"/>
          </w:divBdr>
        </w:div>
        <w:div w:id="807163896">
          <w:marLeft w:val="0"/>
          <w:marRight w:val="0"/>
          <w:marTop w:val="0"/>
          <w:marBottom w:val="0"/>
          <w:divBdr>
            <w:top w:val="none" w:sz="0" w:space="0" w:color="auto"/>
            <w:left w:val="none" w:sz="0" w:space="0" w:color="auto"/>
            <w:bottom w:val="none" w:sz="0" w:space="0" w:color="auto"/>
            <w:right w:val="none" w:sz="0" w:space="0" w:color="auto"/>
          </w:divBdr>
        </w:div>
        <w:div w:id="830216259">
          <w:marLeft w:val="0"/>
          <w:marRight w:val="0"/>
          <w:marTop w:val="0"/>
          <w:marBottom w:val="0"/>
          <w:divBdr>
            <w:top w:val="none" w:sz="0" w:space="0" w:color="auto"/>
            <w:left w:val="none" w:sz="0" w:space="0" w:color="auto"/>
            <w:bottom w:val="none" w:sz="0" w:space="0" w:color="auto"/>
            <w:right w:val="none" w:sz="0" w:space="0" w:color="auto"/>
          </w:divBdr>
        </w:div>
        <w:div w:id="893197094">
          <w:marLeft w:val="0"/>
          <w:marRight w:val="0"/>
          <w:marTop w:val="0"/>
          <w:marBottom w:val="0"/>
          <w:divBdr>
            <w:top w:val="none" w:sz="0" w:space="0" w:color="auto"/>
            <w:left w:val="none" w:sz="0" w:space="0" w:color="auto"/>
            <w:bottom w:val="none" w:sz="0" w:space="0" w:color="auto"/>
            <w:right w:val="none" w:sz="0" w:space="0" w:color="auto"/>
          </w:divBdr>
        </w:div>
        <w:div w:id="1086727588">
          <w:marLeft w:val="0"/>
          <w:marRight w:val="0"/>
          <w:marTop w:val="0"/>
          <w:marBottom w:val="0"/>
          <w:divBdr>
            <w:top w:val="none" w:sz="0" w:space="0" w:color="auto"/>
            <w:left w:val="none" w:sz="0" w:space="0" w:color="auto"/>
            <w:bottom w:val="none" w:sz="0" w:space="0" w:color="auto"/>
            <w:right w:val="none" w:sz="0" w:space="0" w:color="auto"/>
          </w:divBdr>
        </w:div>
        <w:div w:id="1184051418">
          <w:marLeft w:val="0"/>
          <w:marRight w:val="0"/>
          <w:marTop w:val="0"/>
          <w:marBottom w:val="0"/>
          <w:divBdr>
            <w:top w:val="none" w:sz="0" w:space="0" w:color="auto"/>
            <w:left w:val="none" w:sz="0" w:space="0" w:color="auto"/>
            <w:bottom w:val="none" w:sz="0" w:space="0" w:color="auto"/>
            <w:right w:val="none" w:sz="0" w:space="0" w:color="auto"/>
          </w:divBdr>
        </w:div>
        <w:div w:id="1350185190">
          <w:marLeft w:val="0"/>
          <w:marRight w:val="0"/>
          <w:marTop w:val="0"/>
          <w:marBottom w:val="0"/>
          <w:divBdr>
            <w:top w:val="none" w:sz="0" w:space="0" w:color="auto"/>
            <w:left w:val="none" w:sz="0" w:space="0" w:color="auto"/>
            <w:bottom w:val="none" w:sz="0" w:space="0" w:color="auto"/>
            <w:right w:val="none" w:sz="0" w:space="0" w:color="auto"/>
          </w:divBdr>
        </w:div>
        <w:div w:id="1444807536">
          <w:marLeft w:val="0"/>
          <w:marRight w:val="0"/>
          <w:marTop w:val="0"/>
          <w:marBottom w:val="0"/>
          <w:divBdr>
            <w:top w:val="none" w:sz="0" w:space="0" w:color="auto"/>
            <w:left w:val="none" w:sz="0" w:space="0" w:color="auto"/>
            <w:bottom w:val="none" w:sz="0" w:space="0" w:color="auto"/>
            <w:right w:val="none" w:sz="0" w:space="0" w:color="auto"/>
          </w:divBdr>
        </w:div>
        <w:div w:id="1528130981">
          <w:marLeft w:val="0"/>
          <w:marRight w:val="0"/>
          <w:marTop w:val="0"/>
          <w:marBottom w:val="0"/>
          <w:divBdr>
            <w:top w:val="none" w:sz="0" w:space="0" w:color="auto"/>
            <w:left w:val="none" w:sz="0" w:space="0" w:color="auto"/>
            <w:bottom w:val="none" w:sz="0" w:space="0" w:color="auto"/>
            <w:right w:val="none" w:sz="0" w:space="0" w:color="auto"/>
          </w:divBdr>
        </w:div>
        <w:div w:id="1535078549">
          <w:marLeft w:val="0"/>
          <w:marRight w:val="0"/>
          <w:marTop w:val="0"/>
          <w:marBottom w:val="0"/>
          <w:divBdr>
            <w:top w:val="none" w:sz="0" w:space="0" w:color="auto"/>
            <w:left w:val="none" w:sz="0" w:space="0" w:color="auto"/>
            <w:bottom w:val="none" w:sz="0" w:space="0" w:color="auto"/>
            <w:right w:val="none" w:sz="0" w:space="0" w:color="auto"/>
          </w:divBdr>
        </w:div>
        <w:div w:id="1586643081">
          <w:marLeft w:val="0"/>
          <w:marRight w:val="0"/>
          <w:marTop w:val="0"/>
          <w:marBottom w:val="0"/>
          <w:divBdr>
            <w:top w:val="none" w:sz="0" w:space="0" w:color="auto"/>
            <w:left w:val="none" w:sz="0" w:space="0" w:color="auto"/>
            <w:bottom w:val="none" w:sz="0" w:space="0" w:color="auto"/>
            <w:right w:val="none" w:sz="0" w:space="0" w:color="auto"/>
          </w:divBdr>
        </w:div>
        <w:div w:id="1702198878">
          <w:marLeft w:val="0"/>
          <w:marRight w:val="0"/>
          <w:marTop w:val="0"/>
          <w:marBottom w:val="0"/>
          <w:divBdr>
            <w:top w:val="none" w:sz="0" w:space="0" w:color="auto"/>
            <w:left w:val="none" w:sz="0" w:space="0" w:color="auto"/>
            <w:bottom w:val="none" w:sz="0" w:space="0" w:color="auto"/>
            <w:right w:val="none" w:sz="0" w:space="0" w:color="auto"/>
          </w:divBdr>
        </w:div>
        <w:div w:id="1777360664">
          <w:marLeft w:val="0"/>
          <w:marRight w:val="0"/>
          <w:marTop w:val="0"/>
          <w:marBottom w:val="0"/>
          <w:divBdr>
            <w:top w:val="none" w:sz="0" w:space="0" w:color="auto"/>
            <w:left w:val="none" w:sz="0" w:space="0" w:color="auto"/>
            <w:bottom w:val="none" w:sz="0" w:space="0" w:color="auto"/>
            <w:right w:val="none" w:sz="0" w:space="0" w:color="auto"/>
          </w:divBdr>
        </w:div>
        <w:div w:id="1943757111">
          <w:marLeft w:val="0"/>
          <w:marRight w:val="0"/>
          <w:marTop w:val="0"/>
          <w:marBottom w:val="0"/>
          <w:divBdr>
            <w:top w:val="none" w:sz="0" w:space="0" w:color="auto"/>
            <w:left w:val="none" w:sz="0" w:space="0" w:color="auto"/>
            <w:bottom w:val="none" w:sz="0" w:space="0" w:color="auto"/>
            <w:right w:val="none" w:sz="0" w:space="0" w:color="auto"/>
          </w:divBdr>
        </w:div>
        <w:div w:id="1993757185">
          <w:marLeft w:val="0"/>
          <w:marRight w:val="0"/>
          <w:marTop w:val="0"/>
          <w:marBottom w:val="0"/>
          <w:divBdr>
            <w:top w:val="none" w:sz="0" w:space="0" w:color="auto"/>
            <w:left w:val="none" w:sz="0" w:space="0" w:color="auto"/>
            <w:bottom w:val="none" w:sz="0" w:space="0" w:color="auto"/>
            <w:right w:val="none" w:sz="0" w:space="0" w:color="auto"/>
          </w:divBdr>
        </w:div>
        <w:div w:id="2024282640">
          <w:marLeft w:val="0"/>
          <w:marRight w:val="0"/>
          <w:marTop w:val="0"/>
          <w:marBottom w:val="0"/>
          <w:divBdr>
            <w:top w:val="none" w:sz="0" w:space="0" w:color="auto"/>
            <w:left w:val="none" w:sz="0" w:space="0" w:color="auto"/>
            <w:bottom w:val="none" w:sz="0" w:space="0" w:color="auto"/>
            <w:right w:val="none" w:sz="0" w:space="0" w:color="auto"/>
          </w:divBdr>
        </w:div>
        <w:div w:id="2035107117">
          <w:marLeft w:val="0"/>
          <w:marRight w:val="0"/>
          <w:marTop w:val="0"/>
          <w:marBottom w:val="0"/>
          <w:divBdr>
            <w:top w:val="none" w:sz="0" w:space="0" w:color="auto"/>
            <w:left w:val="none" w:sz="0" w:space="0" w:color="auto"/>
            <w:bottom w:val="none" w:sz="0" w:space="0" w:color="auto"/>
            <w:right w:val="none" w:sz="0" w:space="0" w:color="auto"/>
          </w:divBdr>
        </w:div>
        <w:div w:id="2074234923">
          <w:marLeft w:val="0"/>
          <w:marRight w:val="0"/>
          <w:marTop w:val="0"/>
          <w:marBottom w:val="0"/>
          <w:divBdr>
            <w:top w:val="none" w:sz="0" w:space="0" w:color="auto"/>
            <w:left w:val="none" w:sz="0" w:space="0" w:color="auto"/>
            <w:bottom w:val="none" w:sz="0" w:space="0" w:color="auto"/>
            <w:right w:val="none" w:sz="0" w:space="0" w:color="auto"/>
          </w:divBdr>
        </w:div>
        <w:div w:id="2089299705">
          <w:marLeft w:val="0"/>
          <w:marRight w:val="0"/>
          <w:marTop w:val="0"/>
          <w:marBottom w:val="0"/>
          <w:divBdr>
            <w:top w:val="none" w:sz="0" w:space="0" w:color="auto"/>
            <w:left w:val="none" w:sz="0" w:space="0" w:color="auto"/>
            <w:bottom w:val="none" w:sz="0" w:space="0" w:color="auto"/>
            <w:right w:val="none" w:sz="0" w:space="0" w:color="auto"/>
          </w:divBdr>
        </w:div>
        <w:div w:id="2094622919">
          <w:marLeft w:val="0"/>
          <w:marRight w:val="0"/>
          <w:marTop w:val="0"/>
          <w:marBottom w:val="0"/>
          <w:divBdr>
            <w:top w:val="none" w:sz="0" w:space="0" w:color="auto"/>
            <w:left w:val="none" w:sz="0" w:space="0" w:color="auto"/>
            <w:bottom w:val="none" w:sz="0" w:space="0" w:color="auto"/>
            <w:right w:val="none" w:sz="0" w:space="0" w:color="auto"/>
          </w:divBdr>
        </w:div>
      </w:divsChild>
    </w:div>
    <w:div w:id="174148793">
      <w:bodyDiv w:val="1"/>
      <w:marLeft w:val="0"/>
      <w:marRight w:val="0"/>
      <w:marTop w:val="0"/>
      <w:marBottom w:val="0"/>
      <w:divBdr>
        <w:top w:val="none" w:sz="0" w:space="0" w:color="auto"/>
        <w:left w:val="none" w:sz="0" w:space="0" w:color="auto"/>
        <w:bottom w:val="none" w:sz="0" w:space="0" w:color="auto"/>
        <w:right w:val="none" w:sz="0" w:space="0" w:color="auto"/>
      </w:divBdr>
    </w:div>
    <w:div w:id="674235639">
      <w:bodyDiv w:val="1"/>
      <w:marLeft w:val="0"/>
      <w:marRight w:val="0"/>
      <w:marTop w:val="0"/>
      <w:marBottom w:val="0"/>
      <w:divBdr>
        <w:top w:val="none" w:sz="0" w:space="0" w:color="auto"/>
        <w:left w:val="none" w:sz="0" w:space="0" w:color="auto"/>
        <w:bottom w:val="none" w:sz="0" w:space="0" w:color="auto"/>
        <w:right w:val="none" w:sz="0" w:space="0" w:color="auto"/>
      </w:divBdr>
    </w:div>
    <w:div w:id="800272633">
      <w:bodyDiv w:val="1"/>
      <w:marLeft w:val="0"/>
      <w:marRight w:val="0"/>
      <w:marTop w:val="0"/>
      <w:marBottom w:val="0"/>
      <w:divBdr>
        <w:top w:val="none" w:sz="0" w:space="0" w:color="auto"/>
        <w:left w:val="none" w:sz="0" w:space="0" w:color="auto"/>
        <w:bottom w:val="none" w:sz="0" w:space="0" w:color="auto"/>
        <w:right w:val="none" w:sz="0" w:space="0" w:color="auto"/>
      </w:divBdr>
    </w:div>
    <w:div w:id="1249264524">
      <w:bodyDiv w:val="1"/>
      <w:marLeft w:val="0"/>
      <w:marRight w:val="0"/>
      <w:marTop w:val="0"/>
      <w:marBottom w:val="0"/>
      <w:divBdr>
        <w:top w:val="none" w:sz="0" w:space="0" w:color="auto"/>
        <w:left w:val="none" w:sz="0" w:space="0" w:color="auto"/>
        <w:bottom w:val="none" w:sz="0" w:space="0" w:color="auto"/>
        <w:right w:val="none" w:sz="0" w:space="0" w:color="auto"/>
      </w:divBdr>
    </w:div>
    <w:div w:id="16013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inberg.northwestern.edu/sites/research-analysis-depts/core_admin/Financial%20Pos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732</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Guidelines for Completing the FY05 Core Budget Template Spreadsheet</vt:lpstr>
    </vt:vector>
  </TitlesOfParts>
  <Company>NUMS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the FY05 Core Budget Template Spreadsheet</dc:title>
  <dc:subject/>
  <dc:creator>dka035</dc:creator>
  <cp:keywords/>
  <cp:lastModifiedBy>Jeffrey Weiss</cp:lastModifiedBy>
  <cp:revision>15</cp:revision>
  <cp:lastPrinted>2009-02-17T20:33:00Z</cp:lastPrinted>
  <dcterms:created xsi:type="dcterms:W3CDTF">2024-02-29T16:06:00Z</dcterms:created>
  <dcterms:modified xsi:type="dcterms:W3CDTF">2025-02-13T16:37:00Z</dcterms:modified>
</cp:coreProperties>
</file>